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color w:val="000000"/>
          <w:sz w:val="44"/>
          <w:szCs w:val="44"/>
        </w:rPr>
      </w:pPr>
      <w:r>
        <w:rPr>
          <w:rFonts w:hint="eastAsia" w:ascii="楷体" w:hAnsi="楷体" w:eastAsia="楷体" w:cs="楷体"/>
          <w:b/>
          <w:bCs w:val="0"/>
          <w:spacing w:val="-2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b w:val="0"/>
          <w:bCs w:val="0"/>
          <w:color w:val="000000"/>
          <w:sz w:val="44"/>
          <w:szCs w:val="44"/>
        </w:rPr>
      </w:pPr>
      <w:r>
        <w:rPr>
          <w:rFonts w:hint="eastAsia"/>
          <w:b w:val="0"/>
          <w:bCs w:val="0"/>
          <w:color w:val="000000"/>
          <w:sz w:val="44"/>
          <w:szCs w:val="44"/>
        </w:rPr>
        <w:t>福州工商学院西面地块控制性详细规划</w:t>
      </w:r>
    </w:p>
    <w:p>
      <w:pPr>
        <w:jc w:val="center"/>
        <w:rPr>
          <w:rFonts w:hint="eastAsia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color w:val="000000"/>
          <w:sz w:val="44"/>
          <w:szCs w:val="44"/>
          <w:lang w:val="en-US" w:eastAsia="zh-CN"/>
        </w:rPr>
        <w:t>公示稿</w:t>
      </w:r>
    </w:p>
    <w:p>
      <w:pPr>
        <w:jc w:val="center"/>
        <w:rPr>
          <w:rFonts w:hint="eastAsia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区位与规划范围</w:t>
      </w:r>
    </w:p>
    <w:p>
      <w:pPr>
        <w:spacing w:line="5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地块位于葛岭镇西北角，福州工程学院主校区的西侧，葛丹公路以西，南、北、西三面环山，距离福永高速葛岭互通口5.8公里，距离葛岭镇区3.8公里。规划区范围总用地面积为31.74公顷（476.06亩）。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功能定位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福州工商学院新区、商业配套用地。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规模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规划总用地面积31.74公顷（476.06亩），其中商业用地10.91公顷（163.60亩），教育科研用地18.74公顷（281.15亩），防护绿地2.09公顷（31.3亩）。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用地布局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区规划建设用地主要分为:商业、公共管理与公共服务设施用地、道路与交通设施、绿地与广场用地等四类用地。其中教育科研用地18.74公顷，占建设用地比例为59.04%，商业用地面积10.91公顷，占建设用地比例为34.37%，防护绿地面积为2.09公顷，占建设用地比例6.59%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三大设施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本次规划主要三大设施为社区管理与服务设施和公用设施，其中设置有2处物业管理用房，开闭所2处，通信接入机房2处，公厕1处，高位水池1处，给水泵站1处，停车场2处。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土地利用强度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A-01地块主要控制指标：用地性质为商业用地，用地面积为109065㎡，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1.0＜</w:t>
      </w:r>
      <w:r>
        <w:rPr>
          <w:rFonts w:hint="eastAsia" w:ascii="仿宋" w:hAnsi="仿宋" w:eastAsia="仿宋" w:cs="仿宋"/>
          <w:sz w:val="32"/>
          <w:szCs w:val="32"/>
        </w:rPr>
        <w:t>容积率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  <w:lang w:val="en-US" w:eastAsia="zh-CN"/>
        </w:rPr>
        <w:t>≤1.1</w:t>
      </w:r>
      <w:r>
        <w:rPr>
          <w:rFonts w:hint="eastAsia" w:ascii="仿宋" w:hAnsi="仿宋" w:eastAsia="仿宋" w:cs="仿宋"/>
          <w:sz w:val="32"/>
          <w:szCs w:val="32"/>
        </w:rPr>
        <w:t>，建筑密度≤45%，绿地率≥25%，建筑限高24m；A-02地块主要控制指标：用地性质教育科研用地，用地面积187430㎡，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0.8≤</w:t>
      </w:r>
      <w:r>
        <w:rPr>
          <w:rFonts w:hint="eastAsia" w:ascii="仿宋" w:hAnsi="仿宋" w:eastAsia="仿宋" w:cs="仿宋"/>
          <w:sz w:val="32"/>
          <w:szCs w:val="32"/>
        </w:rPr>
        <w:t>容积率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≤1.0</w:t>
      </w:r>
      <w:r>
        <w:rPr>
          <w:rFonts w:hint="eastAsia" w:ascii="仿宋" w:hAnsi="仿宋" w:eastAsia="仿宋" w:cs="仿宋"/>
          <w:sz w:val="32"/>
          <w:szCs w:val="32"/>
        </w:rPr>
        <w:t>，建筑密度≤30%，绿地率≥30%,建筑限高36m。</w:t>
      </w:r>
    </w:p>
    <w:p>
      <w:pPr>
        <w:jc w:val="both"/>
        <w:rPr>
          <w:rFonts w:hint="default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5ED7FF"/>
    <w:multiLevelType w:val="singleLevel"/>
    <w:tmpl w:val="8F5ED7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35F33"/>
    <w:rsid w:val="02AD7744"/>
    <w:rsid w:val="46235F33"/>
    <w:rsid w:val="75D1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2021-06-09T02:20:00Z</dcterms:created>
  <dc:creator>郑杰</dc:creator>
  <cp:lastModifiedBy>郑杰</cp:lastModifiedBy>
  <dcterms:modified xsi:type="dcterms:W3CDTF">2021-06-15T04:16:57Z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273C2BFE56124032A828C4DBD7E4AD14</vt:lpwstr>
  </property>
</Properties>
</file>