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永泰县梧桐镇卫生院地块控规图则公示稿</w:t>
      </w:r>
    </w:p>
    <w:bookmarkEnd w:id="0"/>
    <w:p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一、地块位置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地块位于梧桐镇国道355线、规划春风路、西林路围合地块，总面积为13217平方米，其中卫生院用地12022平方米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防护绿地1195平方米。</w:t>
      </w:r>
    </w:p>
    <w:p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二、主要控制指标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350125-WT-WSY-01地块：用地性质A51（医院用地），用地面积12022平方米，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容积率≤1.6，建筑密度≤30%，绿地率≥3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%，建筑高度≤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米，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出入口方位为东南方向，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机动车配建标准按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lang w:val="en-US" w:eastAsia="zh-CN"/>
        </w:rPr>
        <w:t>0.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车位/100平方米建筑面积，非机动车配建标准按4.0车位/100平方米建筑面积执行。</w:t>
      </w:r>
    </w:p>
    <w:p>
      <w:pPr>
        <w:ind w:firstLine="60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350125-WT-WSY-02地块：用地性质G2（防护绿地），用地面积1195平方米，禁止新建各类建筑物、构筑物。</w:t>
      </w:r>
    </w:p>
    <w:p>
      <w:pPr>
        <w:ind w:firstLine="600" w:firstLineChars="200"/>
        <w:jc w:val="left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-721995</wp:posOffset>
            </wp:positionH>
            <wp:positionV relativeFrom="paragraph">
              <wp:posOffset>1144905</wp:posOffset>
            </wp:positionV>
            <wp:extent cx="8988425" cy="6480175"/>
            <wp:effectExtent l="0" t="0" r="15875" b="3175"/>
            <wp:wrapTopAndBottom/>
            <wp:docPr id="1" name="图片 1" descr="D:\21年项目\永泰梧桐卫生院地块图则\地块图则\永泰县梧桐中心卫生院地块图则 210816-Model.jpg永泰县梧桐中心卫生院地块图则 210816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1年项目\永泰梧桐卫生院地块图则\地块图则\永泰县梧桐中心卫生院地块图则 210816-Model.jpg永泰县梧桐中心卫生院地块图则 210816-Model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8842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753C2"/>
    <w:rsid w:val="1BD753C2"/>
    <w:rsid w:val="5B08569E"/>
    <w:rsid w:val="7529591A"/>
    <w:rsid w:val="7B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2021-08-16T05:07:00Z</dcterms:created>
  <dc:creator>Administrator</dc:creator>
  <cp:lastModifiedBy>郑杰</cp:lastModifiedBy>
  <dcterms:modified xsi:type="dcterms:W3CDTF">2021-08-17T14:28:29Z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647753CA8CE847A78FFDBA507AE37C93</vt:lpwstr>
  </property>
</Properties>
</file>