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96" w:lineRule="exact"/>
        <w:jc w:val="center"/>
        <w:textAlignment w:val="top"/>
        <w:outlineLvl w:val="0"/>
        <w:rPr>
          <w:rFonts w:hint="eastAsia" w:ascii="宋体" w:hAnsi="宋体" w:cs="宋体"/>
          <w:b/>
          <w:bCs/>
          <w:sz w:val="44"/>
          <w:szCs w:val="44"/>
          <w:lang w:eastAsia="zh-CN"/>
        </w:rPr>
      </w:pPr>
      <w:r>
        <w:rPr>
          <w:rFonts w:hint="eastAsia" w:ascii="宋体" w:hAnsi="宋体" w:cs="宋体"/>
          <w:b/>
          <w:bCs/>
          <w:sz w:val="44"/>
          <w:szCs w:val="44"/>
          <w:lang w:eastAsia="zh-CN"/>
        </w:rPr>
        <w:t>永泰县葛岭镇东南片区D25及周边地块</w:t>
      </w:r>
    </w:p>
    <w:p>
      <w:pPr>
        <w:spacing w:line="596" w:lineRule="exact"/>
        <w:jc w:val="center"/>
        <w:textAlignment w:val="top"/>
        <w:outlineLvl w:val="0"/>
        <w:rPr>
          <w:rFonts w:hint="eastAsia"/>
          <w:b/>
          <w:bCs/>
          <w:sz w:val="44"/>
          <w:szCs w:val="44"/>
        </w:rPr>
      </w:pPr>
      <w:r>
        <w:rPr>
          <w:rFonts w:hint="eastAsia" w:ascii="宋体" w:hAnsi="宋体" w:cs="宋体"/>
          <w:b/>
          <w:bCs/>
          <w:sz w:val="44"/>
          <w:szCs w:val="44"/>
          <w:lang w:eastAsia="zh-CN"/>
        </w:rPr>
        <w:t>控规调整论证报告</w:t>
      </w:r>
      <w:r>
        <w:rPr>
          <w:rFonts w:hint="eastAsia"/>
          <w:b/>
          <w:bCs/>
          <w:sz w:val="44"/>
          <w:szCs w:val="44"/>
          <w:lang w:eastAsia="zh-CN"/>
        </w:rPr>
        <w:t>草案</w:t>
      </w:r>
      <w:r>
        <w:rPr>
          <w:rFonts w:hint="eastAsia"/>
          <w:b/>
          <w:bCs/>
          <w:sz w:val="44"/>
          <w:szCs w:val="44"/>
        </w:rPr>
        <w:t>公示稿</w:t>
      </w:r>
    </w:p>
    <w:p>
      <w:pPr>
        <w:spacing w:line="596" w:lineRule="exact"/>
        <w:jc w:val="center"/>
        <w:textAlignment w:val="top"/>
        <w:outlineLvl w:val="0"/>
        <w:rPr>
          <w:rFonts w:hint="eastAsia"/>
          <w:b/>
          <w:bCs/>
          <w:sz w:val="44"/>
          <w:szCs w:val="44"/>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3" w:firstLineChars="200"/>
        <w:jc w:val="both"/>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一、控规调整动因</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宋体" w:hAnsi="宋体" w:eastAsia="宋体" w:cs="宋体"/>
          <w:b w:val="0"/>
          <w:bCs w:val="0"/>
          <w:sz w:val="32"/>
          <w:szCs w:val="32"/>
          <w:lang w:val="en-US" w:eastAsia="zh-CN"/>
        </w:rPr>
      </w:pPr>
      <w:r>
        <w:rPr>
          <w:rFonts w:hint="eastAsia" w:ascii="宋体" w:hAnsi="宋体" w:eastAsia="宋体" w:cs="宋体"/>
          <w:b w:val="0"/>
          <w:bCs w:val="0"/>
          <w:sz w:val="32"/>
          <w:szCs w:val="32"/>
          <w:lang w:val="en-US" w:eastAsia="zh-CN"/>
        </w:rPr>
        <w:t>为推进葛岭均和岭上项目进展，经我局研究，因赤壁路现状建设线型与规划线型不一致，为进一步做好大樟溪沿线规划管控保留一重山，同时衔接电力专项预留电力走廊，在各项规划技术指标不变的前提下，</w:t>
      </w:r>
      <w:r>
        <w:rPr>
          <w:rFonts w:hint="eastAsia" w:ascii="宋体" w:hAnsi="宋体" w:eastAsia="宋体" w:cs="宋体"/>
          <w:b w:val="0"/>
          <w:bCs w:val="0"/>
          <w:color w:val="auto"/>
          <w:sz w:val="32"/>
          <w:szCs w:val="32"/>
          <w:lang w:val="en-US" w:eastAsia="zh-CN"/>
        </w:rPr>
        <w:t>对</w:t>
      </w:r>
      <w:r>
        <w:rPr>
          <w:rFonts w:hint="eastAsia" w:ascii="宋体" w:hAnsi="宋体" w:eastAsia="宋体" w:cs="宋体"/>
          <w:color w:val="auto"/>
          <w:sz w:val="32"/>
          <w:szCs w:val="32"/>
          <w:lang w:val="en-US" w:eastAsia="zh-CN"/>
        </w:rPr>
        <w:t>D</w:t>
      </w:r>
      <w:r>
        <w:rPr>
          <w:rFonts w:hint="eastAsia" w:ascii="宋体" w:hAnsi="宋体" w:eastAsia="宋体" w:cs="宋体"/>
          <w:color w:val="auto"/>
          <w:sz w:val="32"/>
          <w:szCs w:val="32"/>
        </w:rPr>
        <w:t>-</w:t>
      </w:r>
      <w:r>
        <w:rPr>
          <w:rFonts w:hint="eastAsia" w:ascii="宋体" w:hAnsi="宋体" w:eastAsia="宋体" w:cs="宋体"/>
          <w:color w:val="auto"/>
          <w:sz w:val="32"/>
          <w:szCs w:val="32"/>
          <w:lang w:val="en-US" w:eastAsia="zh-CN"/>
        </w:rPr>
        <w:t>2</w:t>
      </w:r>
      <w:r>
        <w:rPr>
          <w:rFonts w:hint="eastAsia" w:ascii="宋体" w:hAnsi="宋体" w:cs="宋体"/>
          <w:color w:val="auto"/>
          <w:sz w:val="32"/>
          <w:szCs w:val="32"/>
          <w:lang w:val="en-US" w:eastAsia="zh-CN"/>
        </w:rPr>
        <w:t>5</w:t>
      </w:r>
      <w:r>
        <w:rPr>
          <w:rFonts w:hint="eastAsia" w:ascii="宋体" w:hAnsi="宋体" w:eastAsia="宋体" w:cs="宋体"/>
          <w:color w:val="auto"/>
          <w:sz w:val="32"/>
          <w:szCs w:val="32"/>
          <w:lang w:eastAsia="zh-CN"/>
        </w:rPr>
        <w:t>及周边地块</w:t>
      </w:r>
      <w:r>
        <w:rPr>
          <w:rFonts w:hint="eastAsia" w:ascii="宋体" w:hAnsi="宋体" w:eastAsia="宋体" w:cs="宋体"/>
          <w:b w:val="0"/>
          <w:bCs w:val="0"/>
          <w:color w:val="auto"/>
          <w:sz w:val="32"/>
          <w:szCs w:val="32"/>
          <w:lang w:val="en-US" w:eastAsia="zh-CN"/>
        </w:rPr>
        <w:t>用地红线进行</w:t>
      </w:r>
      <w:r>
        <w:rPr>
          <w:rFonts w:hint="eastAsia" w:ascii="宋体" w:hAnsi="宋体" w:cs="宋体"/>
          <w:b w:val="0"/>
          <w:bCs w:val="0"/>
          <w:color w:val="auto"/>
          <w:sz w:val="32"/>
          <w:szCs w:val="32"/>
          <w:lang w:val="en-US" w:eastAsia="zh-CN"/>
        </w:rPr>
        <w:t>优化</w:t>
      </w:r>
      <w:r>
        <w:rPr>
          <w:rFonts w:hint="eastAsia" w:ascii="宋体" w:hAnsi="宋体" w:eastAsia="宋体" w:cs="宋体"/>
          <w:b w:val="0"/>
          <w:bCs w:val="0"/>
          <w:color w:val="auto"/>
          <w:sz w:val="32"/>
          <w:szCs w:val="32"/>
          <w:lang w:val="en-US" w:eastAsia="zh-CN"/>
        </w:rPr>
        <w:t>调整。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宋体" w:hAnsi="宋体" w:eastAsia="宋体" w:cs="宋体"/>
          <w:b w:val="0"/>
          <w:bCs w:val="0"/>
          <w:sz w:val="32"/>
          <w:szCs w:val="32"/>
          <w:lang w:val="en-US" w:eastAsia="zh-CN"/>
        </w:rPr>
      </w:pPr>
      <w:r>
        <w:rPr>
          <w:rFonts w:hint="eastAsia" w:ascii="宋体" w:hAnsi="宋体" w:eastAsia="宋体" w:cs="宋体"/>
          <w:b w:val="0"/>
          <w:bCs w:val="0"/>
          <w:sz w:val="32"/>
          <w:szCs w:val="32"/>
          <w:lang w:val="en-US" w:eastAsia="zh-CN"/>
        </w:rPr>
        <w:t>我局委托福州市规划设计研究院集团有限公司编制了《永泰县葛岭镇东南片区D25及周边地块控规调整论证报告》。</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3" w:firstLineChars="200"/>
        <w:jc w:val="both"/>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二、控规调整的可行性分析及主要内容</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eastAsia" w:ascii="宋体" w:hAnsi="宋体" w:cs="宋体"/>
          <w:b w:val="0"/>
          <w:bCs w:val="0"/>
          <w:sz w:val="32"/>
          <w:szCs w:val="32"/>
          <w:lang w:val="en-US" w:eastAsia="zh-CN"/>
        </w:rPr>
      </w:pPr>
      <w:r>
        <w:rPr>
          <w:rFonts w:hint="eastAsia" w:ascii="宋体" w:hAnsi="宋体" w:cs="宋体"/>
          <w:b w:val="0"/>
          <w:bCs w:val="0"/>
          <w:sz w:val="32"/>
          <w:szCs w:val="32"/>
          <w:lang w:val="en-US" w:eastAsia="zh-CN"/>
        </w:rPr>
        <w:t>1.道路红线调整：因赤壁路该段北侧水工岸线已修建完成，原控规部分道路用地占用岸线范围，本次控规调整依据已建水工岸线优化调整意善路和赤壁路交叉口位置的道路红线。</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eastAsia" w:ascii="宋体" w:hAnsi="宋体" w:cs="宋体"/>
          <w:b w:val="0"/>
          <w:bCs w:val="0"/>
          <w:sz w:val="32"/>
          <w:szCs w:val="32"/>
          <w:lang w:val="en-US" w:eastAsia="zh-CN"/>
        </w:rPr>
      </w:pPr>
      <w:r>
        <w:rPr>
          <w:rFonts w:hint="eastAsia" w:ascii="宋体" w:hAnsi="宋体" w:cs="宋体"/>
          <w:b w:val="0"/>
          <w:bCs w:val="0"/>
          <w:sz w:val="32"/>
          <w:szCs w:val="32"/>
          <w:lang w:val="en-US" w:eastAsia="zh-CN"/>
        </w:rPr>
        <w:t>2.D-25住宅地块东北部山体为大樟溪一重山，为做好大樟溪沿线规划管控，保留一重山自然风光，本次控规调整在保证已出让D-25地块面积及指标不变情况下，结合已报批土地红线、南部海洋馆电力线路退距等要求，调整部分D-25南侧公园地块作为住宅用地，原D-25东北部山体</w:t>
      </w:r>
      <w:bookmarkStart w:id="0" w:name="_GoBack"/>
      <w:r>
        <w:rPr>
          <w:rFonts w:hint="eastAsia" w:ascii="宋体" w:hAnsi="宋体" w:cs="宋体"/>
          <w:b w:val="0"/>
          <w:bCs w:val="0"/>
          <w:sz w:val="32"/>
          <w:szCs w:val="32"/>
          <w:lang w:val="en-US" w:eastAsia="zh-CN"/>
        </w:rPr>
        <w:t>作为</w:t>
      </w:r>
      <w:bookmarkEnd w:id="0"/>
      <w:r>
        <w:rPr>
          <w:rFonts w:hint="eastAsia" w:ascii="宋体" w:hAnsi="宋体" w:cs="宋体"/>
          <w:b w:val="0"/>
          <w:bCs w:val="0"/>
          <w:sz w:val="32"/>
          <w:szCs w:val="32"/>
          <w:lang w:val="en-US" w:eastAsia="zh-CN"/>
        </w:rPr>
        <w:t>山体公园保留。</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default" w:ascii="宋体" w:hAnsi="宋体" w:cs="宋体"/>
          <w:b w:val="0"/>
          <w:bCs w:val="0"/>
          <w:sz w:val="32"/>
          <w:szCs w:val="32"/>
          <w:lang w:val="en-US" w:eastAsia="zh-CN"/>
        </w:rPr>
      </w:pPr>
      <w:r>
        <w:rPr>
          <w:rFonts w:hint="eastAsia" w:ascii="宋体" w:hAnsi="宋体" w:cs="宋体"/>
          <w:b w:val="0"/>
          <w:bCs w:val="0"/>
          <w:sz w:val="32"/>
          <w:szCs w:val="32"/>
          <w:lang w:val="en-US" w:eastAsia="zh-CN"/>
        </w:rPr>
        <w:t>3.D-24地块作为商业用地，现状为农村居民点，地块南部土地庙土地征收难度较大，为结合开发时序和尊重民俗，在确保D-24地块用地面积及指标不变的情况下，优化微调D-24和D-25之间的用地边界。</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default" w:ascii="宋体" w:hAnsi="宋体" w:eastAsia="宋体" w:cs="宋体"/>
          <w:b w:val="0"/>
          <w:bCs w:val="0"/>
          <w:sz w:val="32"/>
          <w:szCs w:val="32"/>
          <w:lang w:val="en-US" w:eastAsia="zh-CN"/>
        </w:rPr>
      </w:pPr>
      <w:r>
        <w:rPr>
          <w:rFonts w:hint="eastAsia" w:ascii="宋体" w:hAnsi="宋体" w:cs="宋体"/>
          <w:b w:val="0"/>
          <w:bCs w:val="0"/>
          <w:sz w:val="32"/>
          <w:szCs w:val="32"/>
          <w:lang w:val="en-US" w:eastAsia="zh-CN"/>
        </w:rPr>
        <w:t>其他地块用地界线调整优化详见附图。</w:t>
      </w:r>
    </w:p>
    <w:p>
      <w:pPr>
        <w:rPr>
          <w:rFonts w:hint="eastAsia" w:ascii="仿宋" w:hAnsi="仿宋" w:eastAsia="仿宋" w:cs="仿宋"/>
          <w:color w:val="000000"/>
          <w:kern w:val="0"/>
          <w:sz w:val="31"/>
          <w:szCs w:val="31"/>
          <w:lang w:val="en-US" w:eastAsia="zh-CN" w:bidi="ar"/>
        </w:rPr>
      </w:pPr>
      <w:r>
        <w:rPr>
          <w:rFonts w:hint="eastAsia" w:ascii="仿宋" w:hAnsi="仿宋" w:eastAsia="仿宋" w:cs="仿宋"/>
          <w:color w:val="000000"/>
          <w:kern w:val="0"/>
          <w:sz w:val="31"/>
          <w:szCs w:val="31"/>
          <w:lang w:val="en-US" w:eastAsia="zh-CN" w:bidi="ar"/>
        </w:rPr>
        <w:br w:type="page"/>
      </w:r>
    </w:p>
    <w:p>
      <w:pPr>
        <w:rPr>
          <w:rFonts w:hint="eastAsia" w:ascii="仿宋" w:hAnsi="仿宋" w:eastAsia="仿宋" w:cs="仿宋"/>
          <w:color w:val="000000"/>
          <w:kern w:val="0"/>
          <w:sz w:val="31"/>
          <w:szCs w:val="31"/>
          <w:lang w:val="en-US" w:eastAsia="zh-CN" w:bidi="ar"/>
        </w:rPr>
      </w:pPr>
      <w:r>
        <w:rPr>
          <w:rFonts w:hint="eastAsia" w:ascii="宋体" w:hAnsi="宋体" w:eastAsia="宋体" w:cs="宋体"/>
          <w:sz w:val="32"/>
          <w:szCs w:val="32"/>
          <w:lang w:val="en-US" w:eastAsia="zh-CN"/>
        </w:rPr>
        <w:drawing>
          <wp:anchor distT="0" distB="0" distL="114300" distR="114300" simplePos="0" relativeHeight="251659264" behindDoc="1" locked="0" layoutInCell="1" allowOverlap="1">
            <wp:simplePos x="0" y="0"/>
            <wp:positionH relativeFrom="column">
              <wp:posOffset>-2668905</wp:posOffset>
            </wp:positionH>
            <wp:positionV relativeFrom="paragraph">
              <wp:posOffset>695325</wp:posOffset>
            </wp:positionV>
            <wp:extent cx="10568305" cy="7473315"/>
            <wp:effectExtent l="0" t="0" r="6985" b="10795"/>
            <wp:wrapNone/>
            <wp:docPr id="1" name="图片 2" descr="永泰县葛岭镇东南片区D25及周边地块控规调整论证报告202106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永泰县葛岭镇东南片区D25及周边地块控规调整论证报告20210630-23"/>
                    <pic:cNvPicPr>
                      <a:picLocks noChangeAspect="1"/>
                    </pic:cNvPicPr>
                  </pic:nvPicPr>
                  <pic:blipFill>
                    <a:blip r:embed="rId4"/>
                    <a:stretch>
                      <a:fillRect/>
                    </a:stretch>
                  </pic:blipFill>
                  <pic:spPr>
                    <a:xfrm rot="-5400000">
                      <a:off x="0" y="0"/>
                      <a:ext cx="10568305" cy="7473315"/>
                    </a:xfrm>
                    <a:prstGeom prst="rect">
                      <a:avLst/>
                    </a:prstGeom>
                    <a:noFill/>
                    <a:ln>
                      <a:noFill/>
                    </a:ln>
                  </pic:spPr>
                </pic:pic>
              </a:graphicData>
            </a:graphic>
          </wp:anchor>
        </w:drawing>
      </w: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r>
        <w:rPr>
          <w:rFonts w:hint="eastAsia" w:ascii="宋体" w:hAnsi="宋体" w:eastAsia="宋体" w:cs="宋体"/>
          <w:sz w:val="32"/>
          <w:szCs w:val="32"/>
          <w:lang w:val="en-US" w:eastAsia="zh-CN"/>
        </w:rPr>
        <w:drawing>
          <wp:anchor distT="0" distB="0" distL="114300" distR="114300" simplePos="0" relativeHeight="251660288" behindDoc="1" locked="0" layoutInCell="1" allowOverlap="1">
            <wp:simplePos x="0" y="0"/>
            <wp:positionH relativeFrom="column">
              <wp:posOffset>-2662555</wp:posOffset>
            </wp:positionH>
            <wp:positionV relativeFrom="paragraph">
              <wp:posOffset>848360</wp:posOffset>
            </wp:positionV>
            <wp:extent cx="10438130" cy="7381240"/>
            <wp:effectExtent l="0" t="0" r="10160" b="1270"/>
            <wp:wrapNone/>
            <wp:docPr id="2" name="图片 3" descr="永泰县葛岭镇东南片区D25及周边地块控规调整论证报告202106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永泰县葛岭镇东南片区D25及周边地块控规调整论证报告20210630-28"/>
                    <pic:cNvPicPr>
                      <a:picLocks noChangeAspect="1"/>
                    </pic:cNvPicPr>
                  </pic:nvPicPr>
                  <pic:blipFill>
                    <a:blip r:embed="rId5"/>
                    <a:stretch>
                      <a:fillRect/>
                    </a:stretch>
                  </pic:blipFill>
                  <pic:spPr>
                    <a:xfrm rot="-5400000">
                      <a:off x="0" y="0"/>
                      <a:ext cx="10438130" cy="7381240"/>
                    </a:xfrm>
                    <a:prstGeom prst="rect">
                      <a:avLst/>
                    </a:prstGeom>
                    <a:noFill/>
                    <a:ln>
                      <a:noFill/>
                    </a:ln>
                  </pic:spPr>
                </pic:pic>
              </a:graphicData>
            </a:graphic>
          </wp:anchor>
        </w:drawing>
      </w: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pPr>
        <w:rPr>
          <w:rFonts w:hint="eastAsia" w:ascii="仿宋" w:hAnsi="仿宋" w:eastAsia="仿宋" w:cs="仿宋"/>
          <w:color w:val="000000"/>
          <w:kern w:val="0"/>
          <w:sz w:val="31"/>
          <w:szCs w:val="31"/>
          <w:lang w:val="en-US" w:eastAsia="zh-CN" w:bidi="ar"/>
        </w:rPr>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316350D"/>
    <w:rsid w:val="28D9026E"/>
    <w:rsid w:val="331635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 w:type="character" w:customStyle="1" w:styleId="4">
    <w:name w:val="NormalCharacter"/>
    <w:qFormat/>
    <w:uiPriority w:val="0"/>
    <w:rPr>
      <w:rFonts w:ascii="Calibri" w:hAnsi="Calibri"/>
      <w:kern w:val="2"/>
      <w:sz w:val="21"/>
      <w:szCs w:val="22"/>
      <w:lang w:val="en-US" w:eastAsia="zh-CN" w:bidi="ar-SA"/>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TotalTime>
  <ScaleCrop>false</ScaleCrop>
  <LinksUpToDate>false</LinksUpToDate>
  <CharactersWithSpaces>0</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2021-08-17T14:41:00Z</dcterms:created>
  <dc:creator>郑杰</dc:creator>
  <cp:lastModifiedBy>郑杰</cp:lastModifiedBy>
  <cp:lastPrinted>2021-08-18T01:46:42Z</cp:lastPrinted>
  <dcterms:modified xsi:type="dcterms:W3CDTF">2021-08-18T01:51:21Z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C2FE95E271C7450A8C3480C52147D0E9</vt:lpwstr>
  </property>
</Properties>
</file>