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rPr>
          <w:rFonts w:hint="default" w:ascii="黑体" w:hAnsi="黑体" w:eastAsia="黑体" w:cs="黑体"/>
          <w:color w:val="auto"/>
          <w:sz w:val="32"/>
          <w:szCs w:val="32"/>
          <w:highlight w:val="none"/>
          <w:lang w:val="en-US" w:eastAsia="zh-CN" w:bidi="ar-SA"/>
        </w:rPr>
      </w:pPr>
      <w:r>
        <w:rPr>
          <w:rFonts w:hint="eastAsia" w:ascii="黑体" w:hAnsi="黑体" w:eastAsia="黑体" w:cs="黑体"/>
          <w:color w:val="auto"/>
          <w:sz w:val="32"/>
          <w:szCs w:val="32"/>
          <w:highlight w:val="none"/>
          <w:lang w:val="en-US" w:eastAsia="zh-CN" w:bidi="ar-SA"/>
        </w:rPr>
        <w:t>附件1</w:t>
      </w:r>
    </w:p>
    <w:tbl>
      <w:tblPr>
        <w:tblStyle w:val="4"/>
        <w:tblpPr w:leftFromText="180" w:rightFromText="180" w:vertAnchor="text" w:horzAnchor="page" w:tblpX="1531" w:tblpY="82"/>
        <w:tblOverlap w:val="never"/>
        <w:tblW w:w="13980" w:type="dxa"/>
        <w:tblInd w:w="0" w:type="dxa"/>
        <w:tblLayout w:type="fixed"/>
        <w:tblCellMar>
          <w:top w:w="0" w:type="dxa"/>
          <w:left w:w="108" w:type="dxa"/>
          <w:bottom w:w="0" w:type="dxa"/>
          <w:right w:w="108" w:type="dxa"/>
        </w:tblCellMar>
      </w:tblPr>
      <w:tblGrid>
        <w:gridCol w:w="549"/>
        <w:gridCol w:w="1170"/>
        <w:gridCol w:w="1144"/>
        <w:gridCol w:w="1050"/>
        <w:gridCol w:w="1800"/>
        <w:gridCol w:w="1144"/>
        <w:gridCol w:w="1162"/>
        <w:gridCol w:w="1707"/>
        <w:gridCol w:w="1237"/>
        <w:gridCol w:w="1181"/>
        <w:gridCol w:w="1836"/>
      </w:tblGrid>
      <w:tr>
        <w:tblPrEx>
          <w:tblCellMar>
            <w:top w:w="0" w:type="dxa"/>
            <w:left w:w="108" w:type="dxa"/>
            <w:bottom w:w="0" w:type="dxa"/>
            <w:right w:w="108" w:type="dxa"/>
          </w:tblCellMar>
        </w:tblPrEx>
        <w:trPr>
          <w:trHeight w:val="1215" w:hRule="atLeast"/>
        </w:trPr>
        <w:tc>
          <w:tcPr>
            <w:tcW w:w="13980" w:type="dxa"/>
            <w:gridSpan w:val="11"/>
            <w:tcBorders>
              <w:top w:val="nil"/>
              <w:left w:val="nil"/>
              <w:bottom w:val="nil"/>
              <w:right w:val="nil"/>
            </w:tcBorders>
            <w:noWrap w:val="0"/>
            <w:vAlign w:val="center"/>
          </w:tcPr>
          <w:p>
            <w:pPr>
              <w:widowControl/>
              <w:spacing w:line="600" w:lineRule="exact"/>
              <w:jc w:val="center"/>
              <w:textAlignment w:val="center"/>
              <w:rPr>
                <w:rFonts w:hint="eastAsia" w:ascii="Times New Roman" w:hAnsi="Times New Roman" w:eastAsia="方正小标宋_GBK" w:cs="Times New Roman"/>
                <w:color w:val="auto"/>
                <w:spacing w:val="0"/>
                <w:kern w:val="0"/>
                <w:sz w:val="44"/>
                <w:szCs w:val="44"/>
                <w:highlight w:val="none"/>
                <w:lang w:bidi="ar"/>
              </w:rPr>
            </w:pPr>
            <w:r>
              <w:rPr>
                <w:rFonts w:hint="eastAsia" w:ascii="宋体" w:hAnsi="宋体" w:eastAsia="宋体" w:cs="宋体"/>
                <w:b/>
                <w:bCs/>
                <w:color w:val="auto"/>
                <w:spacing w:val="0"/>
                <w:kern w:val="0"/>
                <w:sz w:val="44"/>
                <w:szCs w:val="44"/>
                <w:highlight w:val="none"/>
                <w:lang w:val="en-US" w:eastAsia="zh-CN" w:bidi="ar"/>
              </w:rPr>
              <w:t>永泰县</w:t>
            </w:r>
            <w:r>
              <w:rPr>
                <w:rFonts w:hint="eastAsia" w:ascii="宋体" w:hAnsi="宋体" w:eastAsia="宋体" w:cs="宋体"/>
                <w:b/>
                <w:bCs/>
                <w:color w:val="auto"/>
                <w:spacing w:val="0"/>
                <w:kern w:val="0"/>
                <w:sz w:val="44"/>
                <w:szCs w:val="44"/>
                <w:highlight w:val="none"/>
                <w:lang w:bidi="ar"/>
              </w:rPr>
              <w:t>燃气管道老化更新改造年度计划</w:t>
            </w:r>
          </w:p>
        </w:tc>
      </w:tr>
      <w:tr>
        <w:tblPrEx>
          <w:tblCellMar>
            <w:top w:w="0" w:type="dxa"/>
            <w:left w:w="108" w:type="dxa"/>
            <w:bottom w:w="0" w:type="dxa"/>
            <w:right w:w="108" w:type="dxa"/>
          </w:tblCellMar>
        </w:tblPrEx>
        <w:trPr>
          <w:trHeight w:val="600" w:hRule="atLeast"/>
        </w:trPr>
        <w:tc>
          <w:tcPr>
            <w:tcW w:w="5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序号</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地区</w:t>
            </w:r>
          </w:p>
        </w:tc>
        <w:tc>
          <w:tcPr>
            <w:tcW w:w="3994" w:type="dxa"/>
            <w:gridSpan w:val="3"/>
            <w:tcBorders>
              <w:top w:val="single" w:color="000000" w:sz="4" w:space="0"/>
              <w:left w:val="single" w:color="000000" w:sz="4" w:space="0"/>
              <w:bottom w:val="nil"/>
              <w:right w:val="nil"/>
            </w:tcBorders>
            <w:noWrap w:val="0"/>
            <w:vAlign w:val="center"/>
          </w:tcPr>
          <w:p>
            <w:pPr>
              <w:widowControl/>
              <w:spacing w:line="30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2022-202</w:t>
            </w:r>
            <w:r>
              <w:rPr>
                <w:rFonts w:hint="eastAsia" w:ascii="仿宋_GB2312" w:hAnsi="仿宋_GB2312" w:eastAsia="仿宋_GB2312" w:cs="仿宋_GB2312"/>
                <w:b/>
                <w:color w:val="auto"/>
                <w:spacing w:val="0"/>
                <w:sz w:val="20"/>
                <w:szCs w:val="20"/>
                <w:highlight w:val="none"/>
                <w:u w:val="none"/>
                <w:lang w:val="en-US" w:eastAsia="zh-CN" w:bidi="ar"/>
              </w:rPr>
              <w:t>4</w:t>
            </w:r>
            <w:r>
              <w:rPr>
                <w:rFonts w:hint="eastAsia" w:ascii="仿宋_GB2312" w:hAnsi="仿宋_GB2312" w:eastAsia="仿宋_GB2312" w:cs="仿宋_GB2312"/>
                <w:b/>
                <w:color w:val="auto"/>
                <w:spacing w:val="0"/>
                <w:sz w:val="20"/>
                <w:szCs w:val="20"/>
                <w:highlight w:val="none"/>
                <w:u w:val="none"/>
                <w:lang w:bidi="ar"/>
              </w:rPr>
              <w:t>年总计</w:t>
            </w:r>
          </w:p>
        </w:tc>
        <w:tc>
          <w:tcPr>
            <w:tcW w:w="401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b/>
                <w:color w:val="auto"/>
                <w:spacing w:val="0"/>
                <w:kern w:val="0"/>
                <w:sz w:val="20"/>
                <w:szCs w:val="20"/>
                <w:highlight w:val="none"/>
                <w:lang w:bidi="ar"/>
              </w:rPr>
            </w:pPr>
            <w:r>
              <w:rPr>
                <w:rFonts w:hint="eastAsia" w:ascii="仿宋_GB2312" w:hAnsi="仿宋_GB2312" w:eastAsia="仿宋_GB2312" w:cs="仿宋_GB2312"/>
                <w:b/>
                <w:color w:val="auto"/>
                <w:spacing w:val="0"/>
                <w:kern w:val="0"/>
                <w:sz w:val="20"/>
                <w:szCs w:val="20"/>
                <w:highlight w:val="none"/>
                <w:lang w:bidi="ar"/>
              </w:rPr>
              <w:t>2023</w:t>
            </w:r>
            <w:r>
              <w:rPr>
                <w:rFonts w:hint="eastAsia" w:ascii="仿宋_GB2312" w:hAnsi="仿宋_GB2312" w:eastAsia="仿宋_GB2312" w:cs="仿宋_GB2312"/>
                <w:b/>
                <w:color w:val="auto"/>
                <w:spacing w:val="0"/>
                <w:sz w:val="20"/>
                <w:szCs w:val="20"/>
                <w:highlight w:val="none"/>
                <w:u w:val="none"/>
                <w:lang w:bidi="ar"/>
              </w:rPr>
              <w:t>年</w:t>
            </w:r>
          </w:p>
        </w:tc>
        <w:tc>
          <w:tcPr>
            <w:tcW w:w="425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仿宋_GB2312" w:eastAsia="仿宋_GB2312" w:cs="仿宋_GB2312"/>
                <w:b/>
                <w:color w:val="auto"/>
                <w:spacing w:val="0"/>
                <w:kern w:val="0"/>
                <w:sz w:val="20"/>
                <w:szCs w:val="20"/>
                <w:highlight w:val="none"/>
                <w:lang w:bidi="ar"/>
              </w:rPr>
            </w:pPr>
            <w:r>
              <w:rPr>
                <w:rFonts w:hint="eastAsia" w:ascii="仿宋_GB2312" w:hAnsi="仿宋_GB2312" w:eastAsia="仿宋_GB2312" w:cs="仿宋_GB2312"/>
                <w:b/>
                <w:color w:val="auto"/>
                <w:spacing w:val="0"/>
                <w:kern w:val="0"/>
                <w:sz w:val="20"/>
                <w:szCs w:val="20"/>
                <w:highlight w:val="none"/>
                <w:lang w:bidi="ar"/>
              </w:rPr>
              <w:t>2024</w:t>
            </w:r>
            <w:r>
              <w:rPr>
                <w:rFonts w:hint="eastAsia" w:ascii="仿宋_GB2312" w:hAnsi="仿宋_GB2312" w:eastAsia="仿宋_GB2312" w:cs="仿宋_GB2312"/>
                <w:b/>
                <w:color w:val="auto"/>
                <w:spacing w:val="0"/>
                <w:sz w:val="20"/>
                <w:szCs w:val="20"/>
                <w:highlight w:val="none"/>
                <w:u w:val="none"/>
                <w:lang w:bidi="ar"/>
              </w:rPr>
              <w:t>年</w:t>
            </w:r>
          </w:p>
        </w:tc>
      </w:tr>
      <w:tr>
        <w:tblPrEx>
          <w:tblCellMar>
            <w:top w:w="0" w:type="dxa"/>
            <w:left w:w="108" w:type="dxa"/>
            <w:bottom w:w="0" w:type="dxa"/>
            <w:right w:w="108" w:type="dxa"/>
          </w:tblCellMar>
        </w:tblPrEx>
        <w:trPr>
          <w:trHeight w:val="778" w:hRule="atLeast"/>
        </w:trPr>
        <w:tc>
          <w:tcPr>
            <w:tcW w:w="5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_GB2312" w:eastAsia="仿宋_GB2312" w:cs="仿宋_GB2312"/>
                <w:b/>
                <w:color w:val="auto"/>
                <w:spacing w:val="0"/>
                <w:sz w:val="20"/>
                <w:szCs w:val="20"/>
                <w:highlight w:val="none"/>
                <w:lang w:bidi="ar-SA"/>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hAnsi="仿宋_GB2312" w:eastAsia="仿宋_GB2312" w:cs="仿宋_GB2312"/>
                <w:b/>
                <w:color w:val="auto"/>
                <w:spacing w:val="0"/>
                <w:sz w:val="20"/>
                <w:szCs w:val="20"/>
                <w:highlight w:val="none"/>
                <w:lang w:bidi="ar-SA"/>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燃气管道（公里）</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燃气</w:t>
            </w:r>
            <w:r>
              <w:rPr>
                <w:rFonts w:hint="eastAsia" w:ascii="仿宋_GB2312" w:hAnsi="仿宋_GB2312" w:eastAsia="仿宋_GB2312" w:cs="仿宋_GB2312"/>
                <w:b/>
                <w:color w:val="auto"/>
                <w:spacing w:val="0"/>
                <w:sz w:val="20"/>
                <w:szCs w:val="20"/>
                <w:highlight w:val="none"/>
                <w:u w:val="none"/>
                <w:lang w:eastAsia="zh-CN" w:bidi="ar"/>
              </w:rPr>
              <w:t>厂</w:t>
            </w:r>
            <w:r>
              <w:rPr>
                <w:rFonts w:hint="eastAsia" w:ascii="仿宋_GB2312" w:hAnsi="仿宋_GB2312" w:eastAsia="仿宋_GB2312" w:cs="仿宋_GB2312"/>
                <w:b/>
                <w:color w:val="auto"/>
                <w:spacing w:val="0"/>
                <w:sz w:val="20"/>
                <w:szCs w:val="20"/>
                <w:highlight w:val="none"/>
                <w:u w:val="none"/>
                <w:lang w:bidi="ar"/>
              </w:rPr>
              <w:t>站（座）</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color w:val="auto"/>
                <w:spacing w:val="0"/>
                <w:sz w:val="20"/>
                <w:szCs w:val="20"/>
                <w:highlight w:val="none"/>
                <w:lang w:bidi="ar"/>
              </w:rPr>
            </w:pPr>
            <w:r>
              <w:rPr>
                <w:rFonts w:hint="eastAsia" w:ascii="仿宋_GB2312" w:hAnsi="仿宋_GB2312" w:eastAsia="仿宋_GB2312" w:cs="仿宋_GB2312"/>
                <w:b/>
                <w:color w:val="auto"/>
                <w:spacing w:val="0"/>
                <w:sz w:val="20"/>
                <w:szCs w:val="20"/>
                <w:highlight w:val="none"/>
                <w:u w:val="none"/>
                <w:lang w:bidi="ar"/>
              </w:rPr>
              <w:t>管道燃气自闭阀</w:t>
            </w:r>
          </w:p>
          <w:p>
            <w:pPr>
              <w:widowControl/>
              <w:spacing w:line="28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（万户）</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color w:val="auto"/>
                <w:spacing w:val="0"/>
                <w:sz w:val="20"/>
                <w:szCs w:val="20"/>
                <w:highlight w:val="none"/>
                <w:lang w:bidi="ar"/>
              </w:rPr>
            </w:pPr>
            <w:r>
              <w:rPr>
                <w:rFonts w:hint="eastAsia" w:ascii="仿宋_GB2312" w:hAnsi="仿宋_GB2312" w:eastAsia="仿宋_GB2312" w:cs="仿宋_GB2312"/>
                <w:b/>
                <w:color w:val="auto"/>
                <w:spacing w:val="0"/>
                <w:sz w:val="20"/>
                <w:szCs w:val="20"/>
                <w:highlight w:val="none"/>
                <w:u w:val="none"/>
                <w:lang w:bidi="ar"/>
              </w:rPr>
              <w:t>燃气管道</w:t>
            </w:r>
          </w:p>
          <w:p>
            <w:pPr>
              <w:widowControl/>
              <w:spacing w:line="28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（公里）</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color w:val="auto"/>
                <w:spacing w:val="0"/>
                <w:sz w:val="20"/>
                <w:szCs w:val="20"/>
                <w:highlight w:val="none"/>
                <w:lang w:bidi="ar"/>
              </w:rPr>
            </w:pPr>
            <w:r>
              <w:rPr>
                <w:rFonts w:hint="eastAsia" w:ascii="仿宋_GB2312" w:hAnsi="仿宋_GB2312" w:eastAsia="仿宋_GB2312" w:cs="仿宋_GB2312"/>
                <w:b/>
                <w:color w:val="auto"/>
                <w:spacing w:val="0"/>
                <w:sz w:val="20"/>
                <w:szCs w:val="20"/>
                <w:highlight w:val="none"/>
                <w:u w:val="none"/>
                <w:lang w:bidi="ar"/>
              </w:rPr>
              <w:t>燃气</w:t>
            </w:r>
            <w:r>
              <w:rPr>
                <w:rFonts w:hint="eastAsia" w:ascii="仿宋_GB2312" w:hAnsi="仿宋_GB2312" w:eastAsia="仿宋_GB2312" w:cs="仿宋_GB2312"/>
                <w:b/>
                <w:color w:val="auto"/>
                <w:spacing w:val="0"/>
                <w:sz w:val="20"/>
                <w:szCs w:val="20"/>
                <w:highlight w:val="none"/>
                <w:u w:val="none"/>
                <w:lang w:eastAsia="zh-CN" w:bidi="ar"/>
              </w:rPr>
              <w:t>厂</w:t>
            </w:r>
            <w:r>
              <w:rPr>
                <w:rFonts w:hint="eastAsia" w:ascii="仿宋_GB2312" w:hAnsi="仿宋_GB2312" w:eastAsia="仿宋_GB2312" w:cs="仿宋_GB2312"/>
                <w:b/>
                <w:color w:val="auto"/>
                <w:spacing w:val="0"/>
                <w:sz w:val="20"/>
                <w:szCs w:val="20"/>
                <w:highlight w:val="none"/>
                <w:u w:val="none"/>
                <w:lang w:bidi="ar"/>
              </w:rPr>
              <w:t>站</w:t>
            </w:r>
          </w:p>
          <w:p>
            <w:pPr>
              <w:widowControl/>
              <w:spacing w:line="28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（座）</w:t>
            </w:r>
          </w:p>
        </w:tc>
        <w:tc>
          <w:tcPr>
            <w:tcW w:w="1707"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auto"/>
                <w:spacing w:val="0"/>
                <w:sz w:val="20"/>
                <w:szCs w:val="20"/>
                <w:highlight w:val="none"/>
                <w:lang w:bidi="ar"/>
              </w:rPr>
            </w:pPr>
            <w:r>
              <w:rPr>
                <w:rFonts w:hint="eastAsia" w:ascii="仿宋_GB2312" w:hAnsi="仿宋_GB2312" w:eastAsia="仿宋_GB2312" w:cs="仿宋_GB2312"/>
                <w:b/>
                <w:color w:val="auto"/>
                <w:spacing w:val="0"/>
                <w:sz w:val="20"/>
                <w:szCs w:val="20"/>
                <w:highlight w:val="none"/>
                <w:u w:val="none"/>
                <w:lang w:bidi="ar"/>
              </w:rPr>
              <w:t>管道燃气自闭阀</w:t>
            </w:r>
          </w:p>
          <w:p>
            <w:pPr>
              <w:widowControl/>
              <w:spacing w:line="28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（万户）</w:t>
            </w:r>
          </w:p>
        </w:tc>
        <w:tc>
          <w:tcPr>
            <w:tcW w:w="123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ascii="仿宋_GB2312" w:hAnsi="仿宋_GB2312" w:eastAsia="仿宋_GB2312" w:cs="仿宋_GB2312"/>
                <w:color w:val="auto"/>
                <w:spacing w:val="0"/>
                <w:sz w:val="20"/>
                <w:szCs w:val="20"/>
                <w:highlight w:val="none"/>
                <w:lang w:bidi="ar"/>
              </w:rPr>
            </w:pPr>
            <w:r>
              <w:rPr>
                <w:rFonts w:hint="eastAsia" w:ascii="仿宋_GB2312" w:hAnsi="仿宋_GB2312" w:eastAsia="仿宋_GB2312" w:cs="仿宋_GB2312"/>
                <w:b/>
                <w:color w:val="auto"/>
                <w:spacing w:val="0"/>
                <w:sz w:val="20"/>
                <w:szCs w:val="20"/>
                <w:highlight w:val="none"/>
                <w:u w:val="none"/>
                <w:lang w:bidi="ar"/>
              </w:rPr>
              <w:t>燃气管道</w:t>
            </w:r>
          </w:p>
          <w:p>
            <w:pPr>
              <w:widowControl/>
              <w:spacing w:line="28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（公里）</w:t>
            </w:r>
          </w:p>
        </w:tc>
        <w:tc>
          <w:tcPr>
            <w:tcW w:w="1181" w:type="dxa"/>
            <w:tcBorders>
              <w:top w:val="single" w:color="000000" w:sz="4" w:space="0"/>
              <w:left w:val="single" w:color="auto" w:sz="4" w:space="0"/>
              <w:bottom w:val="single" w:color="000000" w:sz="4" w:space="0"/>
              <w:right w:val="nil"/>
            </w:tcBorders>
            <w:noWrap w:val="0"/>
            <w:vAlign w:val="center"/>
          </w:tcPr>
          <w:p>
            <w:pPr>
              <w:widowControl/>
              <w:spacing w:line="280" w:lineRule="exact"/>
              <w:jc w:val="center"/>
              <w:textAlignment w:val="center"/>
              <w:rPr>
                <w:rFonts w:hint="eastAsia" w:ascii="仿宋_GB2312" w:hAnsi="仿宋_GB2312" w:eastAsia="仿宋_GB2312" w:cs="仿宋_GB2312"/>
                <w:color w:val="auto"/>
                <w:spacing w:val="0"/>
                <w:sz w:val="20"/>
                <w:szCs w:val="20"/>
                <w:highlight w:val="none"/>
                <w:lang w:bidi="ar"/>
              </w:rPr>
            </w:pPr>
            <w:r>
              <w:rPr>
                <w:rFonts w:hint="eastAsia" w:ascii="仿宋_GB2312" w:hAnsi="仿宋_GB2312" w:eastAsia="仿宋_GB2312" w:cs="仿宋_GB2312"/>
                <w:b/>
                <w:color w:val="auto"/>
                <w:spacing w:val="0"/>
                <w:sz w:val="20"/>
                <w:szCs w:val="20"/>
                <w:highlight w:val="none"/>
                <w:u w:val="none"/>
                <w:lang w:bidi="ar"/>
              </w:rPr>
              <w:t>燃气</w:t>
            </w:r>
            <w:r>
              <w:rPr>
                <w:rFonts w:hint="eastAsia" w:ascii="仿宋_GB2312" w:hAnsi="仿宋_GB2312" w:eastAsia="仿宋_GB2312" w:cs="仿宋_GB2312"/>
                <w:b/>
                <w:color w:val="auto"/>
                <w:spacing w:val="0"/>
                <w:sz w:val="20"/>
                <w:szCs w:val="20"/>
                <w:highlight w:val="none"/>
                <w:u w:val="none"/>
                <w:lang w:eastAsia="zh-CN" w:bidi="ar"/>
              </w:rPr>
              <w:t>厂</w:t>
            </w:r>
            <w:r>
              <w:rPr>
                <w:rFonts w:hint="eastAsia" w:ascii="仿宋_GB2312" w:hAnsi="仿宋_GB2312" w:eastAsia="仿宋_GB2312" w:cs="仿宋_GB2312"/>
                <w:b/>
                <w:color w:val="auto"/>
                <w:spacing w:val="0"/>
                <w:sz w:val="20"/>
                <w:szCs w:val="20"/>
                <w:highlight w:val="none"/>
                <w:u w:val="none"/>
                <w:lang w:bidi="ar"/>
              </w:rPr>
              <w:t>站</w:t>
            </w:r>
          </w:p>
          <w:p>
            <w:pPr>
              <w:widowControl/>
              <w:spacing w:line="28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（座）</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hAnsi="仿宋_GB2312" w:eastAsia="仿宋_GB2312" w:cs="仿宋_GB2312"/>
                <w:color w:val="auto"/>
                <w:spacing w:val="0"/>
                <w:sz w:val="20"/>
                <w:szCs w:val="20"/>
                <w:highlight w:val="none"/>
                <w:lang w:bidi="ar"/>
              </w:rPr>
            </w:pPr>
            <w:r>
              <w:rPr>
                <w:rFonts w:hint="eastAsia" w:ascii="仿宋_GB2312" w:hAnsi="仿宋_GB2312" w:eastAsia="仿宋_GB2312" w:cs="仿宋_GB2312"/>
                <w:b/>
                <w:color w:val="auto"/>
                <w:spacing w:val="0"/>
                <w:sz w:val="20"/>
                <w:szCs w:val="20"/>
                <w:highlight w:val="none"/>
                <w:u w:val="none"/>
                <w:lang w:bidi="ar"/>
              </w:rPr>
              <w:t>管道燃气自闭阀</w:t>
            </w:r>
          </w:p>
          <w:p>
            <w:pPr>
              <w:widowControl/>
              <w:spacing w:line="280" w:lineRule="exact"/>
              <w:jc w:val="center"/>
              <w:textAlignment w:val="center"/>
              <w:rPr>
                <w:rFonts w:hint="eastAsia" w:ascii="仿宋_GB2312" w:hAnsi="仿宋_GB2312" w:eastAsia="仿宋_GB2312" w:cs="仿宋_GB2312"/>
                <w:b/>
                <w:color w:val="auto"/>
                <w:spacing w:val="0"/>
                <w:sz w:val="20"/>
                <w:szCs w:val="20"/>
                <w:highlight w:val="none"/>
                <w:lang w:bidi="ar-SA"/>
              </w:rPr>
            </w:pPr>
            <w:r>
              <w:rPr>
                <w:rFonts w:hint="eastAsia" w:ascii="仿宋_GB2312" w:hAnsi="仿宋_GB2312" w:eastAsia="仿宋_GB2312" w:cs="仿宋_GB2312"/>
                <w:b/>
                <w:color w:val="auto"/>
                <w:spacing w:val="0"/>
                <w:sz w:val="20"/>
                <w:szCs w:val="20"/>
                <w:highlight w:val="none"/>
                <w:u w:val="none"/>
                <w:lang w:bidi="ar"/>
              </w:rPr>
              <w:t>（万户）</w:t>
            </w:r>
          </w:p>
        </w:tc>
      </w:tr>
      <w:tr>
        <w:tblPrEx>
          <w:tblCellMar>
            <w:top w:w="0" w:type="dxa"/>
            <w:left w:w="108" w:type="dxa"/>
            <w:bottom w:w="0" w:type="dxa"/>
            <w:right w:w="108" w:type="dxa"/>
          </w:tblCellMar>
        </w:tblPrEx>
        <w:trPr>
          <w:trHeight w:val="747" w:hRule="exac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eastAsia="zh-CN" w:bidi="ar-SA"/>
              </w:rPr>
            </w:pPr>
            <w:r>
              <w:rPr>
                <w:rFonts w:hint="eastAsia" w:ascii="仿宋_GB2312" w:hAnsi="仿宋_GB2312" w:eastAsia="仿宋_GB2312" w:cs="仿宋_GB2312"/>
                <w:bCs/>
                <w:color w:val="auto"/>
                <w:spacing w:val="0"/>
                <w:sz w:val="20"/>
                <w:szCs w:val="20"/>
                <w:highlight w:val="none"/>
                <w:lang w:val="en-US" w:eastAsia="zh-CN" w:bidi="ar-SA"/>
              </w:rPr>
              <w:t>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bidi="ar-SA"/>
              </w:rPr>
              <w:t>永泰县</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bidi="ar-SA"/>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bidi="ar-SA"/>
              </w:rPr>
              <w:t>——</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val="en-US" w:eastAsia="zh-CN" w:bidi="ar-SA"/>
              </w:rPr>
              <w:t>1.4</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bidi="ar-SA"/>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bidi="ar-SA"/>
              </w:rPr>
              <w:t>——</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val="en-US" w:eastAsia="zh-CN" w:bidi="ar-SA"/>
              </w:rPr>
              <w:t>0.4</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bidi="ar-SA"/>
              </w:rPr>
              <w:t>——</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bidi="ar-SA"/>
              </w:rPr>
              <w:t>——</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bCs/>
                <w:color w:val="auto"/>
                <w:spacing w:val="0"/>
                <w:sz w:val="20"/>
                <w:szCs w:val="20"/>
                <w:highlight w:val="none"/>
                <w:lang w:bidi="ar-SA"/>
              </w:rPr>
            </w:pPr>
            <w:r>
              <w:rPr>
                <w:rFonts w:hint="eastAsia" w:ascii="仿宋_GB2312" w:hAnsi="仿宋_GB2312" w:eastAsia="仿宋_GB2312" w:cs="仿宋_GB2312"/>
                <w:bCs/>
                <w:color w:val="auto"/>
                <w:spacing w:val="0"/>
                <w:sz w:val="20"/>
                <w:szCs w:val="20"/>
                <w:highlight w:val="none"/>
                <w:lang w:val="en-US" w:eastAsia="zh-CN" w:bidi="ar-SA"/>
              </w:rPr>
              <w:t>1</w:t>
            </w:r>
          </w:p>
        </w:tc>
      </w:tr>
      <w:tr>
        <w:tblPrEx>
          <w:tblCellMar>
            <w:top w:w="0" w:type="dxa"/>
            <w:left w:w="108" w:type="dxa"/>
            <w:bottom w:w="0" w:type="dxa"/>
            <w:right w:w="108" w:type="dxa"/>
          </w:tblCellMar>
        </w:tblPrEx>
        <w:trPr>
          <w:trHeight w:val="1490" w:hRule="exac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color w:val="auto"/>
                <w:spacing w:val="0"/>
                <w:sz w:val="20"/>
                <w:szCs w:val="20"/>
                <w:highlight w:val="none"/>
                <w:lang w:bidi="ar"/>
              </w:rPr>
            </w:pPr>
            <w:r>
              <w:rPr>
                <w:rFonts w:hint="eastAsia" w:ascii="仿宋_GB2312" w:hAnsi="仿宋_GB2312" w:eastAsia="仿宋_GB2312" w:cs="仿宋_GB2312"/>
                <w:color w:val="auto"/>
                <w:spacing w:val="0"/>
                <w:sz w:val="20"/>
                <w:szCs w:val="20"/>
                <w:highlight w:val="none"/>
                <w:u w:val="none"/>
                <w:lang w:bidi="ar"/>
              </w:rPr>
              <w:t>备注</w:t>
            </w:r>
          </w:p>
        </w:tc>
        <w:tc>
          <w:tcPr>
            <w:tcW w:w="1343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ascii="仿宋_GB2312" w:hAnsi="仿宋_GB2312" w:eastAsia="仿宋_GB2312" w:cs="仿宋_GB2312"/>
                <w:color w:val="auto"/>
                <w:spacing w:val="0"/>
                <w:kern w:val="0"/>
                <w:sz w:val="20"/>
                <w:szCs w:val="20"/>
                <w:highlight w:val="none"/>
                <w:lang w:bidi="ar"/>
              </w:rPr>
            </w:pPr>
            <w:r>
              <w:rPr>
                <w:rFonts w:hint="eastAsia" w:ascii="仿宋_GB2312" w:hAnsi="仿宋_GB2312" w:eastAsia="仿宋_GB2312" w:cs="仿宋_GB2312"/>
                <w:color w:val="auto"/>
                <w:spacing w:val="0"/>
                <w:kern w:val="0"/>
                <w:sz w:val="20"/>
                <w:szCs w:val="20"/>
                <w:highlight w:val="none"/>
                <w:lang w:bidi="ar"/>
              </w:rPr>
              <w:t>1.上述年度计划不含燃气管道老化评估中滚动产生的老旧管网和安全隐患，按照立即查即改原则，滚动列入年度计划并组织实施改造。</w:t>
            </w:r>
          </w:p>
          <w:p>
            <w:pPr>
              <w:widowControl/>
              <w:spacing w:line="260" w:lineRule="exact"/>
              <w:jc w:val="left"/>
              <w:textAlignment w:val="center"/>
              <w:rPr>
                <w:rFonts w:hint="eastAsia" w:ascii="仿宋_GB2312" w:hAnsi="仿宋_GB2312" w:eastAsia="仿宋_GB2312" w:cs="仿宋_GB2312"/>
                <w:color w:val="auto"/>
                <w:spacing w:val="0"/>
                <w:kern w:val="0"/>
                <w:sz w:val="20"/>
                <w:szCs w:val="20"/>
                <w:highlight w:val="none"/>
                <w:lang w:bidi="ar"/>
              </w:rPr>
            </w:pPr>
            <w:r>
              <w:rPr>
                <w:rFonts w:hint="eastAsia" w:ascii="仿宋_GB2312" w:hAnsi="仿宋_GB2312" w:eastAsia="仿宋_GB2312" w:cs="仿宋_GB2312"/>
                <w:color w:val="auto"/>
                <w:spacing w:val="0"/>
                <w:kern w:val="0"/>
                <w:sz w:val="20"/>
                <w:szCs w:val="20"/>
                <w:highlight w:val="none"/>
                <w:lang w:bidi="ar"/>
              </w:rPr>
              <w:t>2.2022年省级管道燃气自闭阀安装任务未完成部分可计入2023年计划任务实施改造。</w:t>
            </w:r>
          </w:p>
          <w:p>
            <w:pPr>
              <w:widowControl w:val="0"/>
              <w:autoSpaceDE w:val="0"/>
              <w:autoSpaceDN w:val="0"/>
              <w:adjustRightInd w:val="0"/>
              <w:spacing w:line="260" w:lineRule="exact"/>
              <w:rPr>
                <w:rFonts w:hint="eastAsia" w:ascii="仿宋_GB2312" w:hAnsi="仿宋_GB2312" w:eastAsia="仿宋_GB2312" w:cs="仿宋_GB2312"/>
                <w:color w:val="auto"/>
                <w:sz w:val="20"/>
                <w:szCs w:val="20"/>
                <w:highlight w:val="none"/>
                <w:lang w:val="en-US" w:eastAsia="zh-CN" w:bidi="ar"/>
              </w:rPr>
            </w:pPr>
            <w:r>
              <w:rPr>
                <w:rFonts w:hint="eastAsia" w:ascii="仿宋_GB2312" w:hAnsi="仿宋_GB2312" w:eastAsia="仿宋_GB2312" w:cs="仿宋_GB2312"/>
                <w:color w:val="auto"/>
                <w:sz w:val="20"/>
                <w:szCs w:val="20"/>
                <w:highlight w:val="none"/>
                <w:lang w:val="en-US" w:eastAsia="zh-CN" w:bidi="ar"/>
              </w:rPr>
              <w:t>3.</w:t>
            </w:r>
            <w:r>
              <w:rPr>
                <w:rFonts w:hint="eastAsia" w:ascii="仿宋_GB2312" w:hAnsi="仿宋_GB2312" w:eastAsia="仿宋_GB2312" w:cs="仿宋_GB2312"/>
                <w:color w:val="auto"/>
                <w:sz w:val="20"/>
                <w:szCs w:val="20"/>
                <w:highlight w:val="none"/>
                <w:lang w:val="en-US" w:eastAsia="zh-CN" w:bidi="ar-SA"/>
              </w:rPr>
              <w:t>居民户内燃气设施安全更新改造费用，</w:t>
            </w:r>
            <w:r>
              <w:rPr>
                <w:rFonts w:hint="eastAsia" w:ascii="仿宋_GB2312" w:hAnsi="仿宋_GB2312" w:eastAsia="仿宋_GB2312" w:cs="仿宋_GB2312"/>
                <w:color w:val="auto"/>
                <w:kern w:val="2"/>
                <w:sz w:val="20"/>
                <w:szCs w:val="20"/>
                <w:highlight w:val="none"/>
                <w:lang w:val="en-US" w:eastAsia="zh-CN" w:bidi="ar-SA"/>
              </w:rPr>
              <w:t>原则按照政府20%、燃气经营企业40%、用户40%的出资比例合理共担。具体费用标准可参照辖区燃气企业上墙公示及网站公示的服务收费目录清单。</w:t>
            </w:r>
          </w:p>
        </w:tc>
      </w:tr>
    </w:tbl>
    <w:p>
      <w:pPr>
        <w:rPr>
          <w:rFonts w:hint="eastAsia" w:ascii="黑体" w:hAnsi="黑体" w:eastAsia="黑体" w:cs="黑体"/>
          <w:color w:val="auto"/>
          <w:sz w:val="32"/>
          <w:szCs w:val="32"/>
          <w:highlight w:val="none"/>
        </w:rPr>
        <w:sectPr>
          <w:footerReference r:id="rId5" w:type="default"/>
          <w:pgSz w:w="16838" w:h="11906" w:orient="landscape"/>
          <w:pgMar w:top="1417" w:right="1440" w:bottom="1417" w:left="1440" w:header="720" w:footer="720" w:gutter="0"/>
          <w:pgNumType w:fmt="numberInDash"/>
          <w:cols w:space="720" w:num="1"/>
          <w:docGrid w:type="lines" w:linePitch="319" w:charSpace="0"/>
        </w:sectPr>
      </w:pPr>
    </w:p>
    <w:p>
      <w:pPr>
        <w:widowControl w:val="0"/>
        <w:autoSpaceDE w:val="0"/>
        <w:autoSpaceDN w:val="0"/>
        <w:adjustRightInd w:val="0"/>
        <w:rPr>
          <w:rFonts w:hint="default" w:ascii="黑体" w:hAnsi="黑体" w:eastAsia="黑体" w:cs="黑体"/>
          <w:color w:val="auto"/>
          <w:sz w:val="32"/>
          <w:szCs w:val="32"/>
          <w:highlight w:val="none"/>
          <w:lang w:val="en-US" w:eastAsia="zh-CN" w:bidi="ar-SA"/>
        </w:rPr>
      </w:pPr>
      <w:r>
        <w:rPr>
          <w:rFonts w:hint="eastAsia" w:ascii="黑体" w:hAnsi="黑体" w:eastAsia="黑体" w:cs="黑体"/>
          <w:color w:val="auto"/>
          <w:sz w:val="32"/>
          <w:szCs w:val="32"/>
          <w:highlight w:val="none"/>
          <w:lang w:val="en-US" w:eastAsia="zh-CN" w:bidi="ar-SA"/>
        </w:rPr>
        <w:t>附件2</w:t>
      </w:r>
    </w:p>
    <w:tbl>
      <w:tblPr>
        <w:tblStyle w:val="4"/>
        <w:tblW w:w="14190" w:type="dxa"/>
        <w:tblInd w:w="0" w:type="dxa"/>
        <w:tblLayout w:type="fixed"/>
        <w:tblCellMar>
          <w:top w:w="0" w:type="dxa"/>
          <w:left w:w="108" w:type="dxa"/>
          <w:bottom w:w="0" w:type="dxa"/>
          <w:right w:w="108" w:type="dxa"/>
        </w:tblCellMar>
      </w:tblPr>
      <w:tblGrid>
        <w:gridCol w:w="417"/>
        <w:gridCol w:w="974"/>
        <w:gridCol w:w="1258"/>
        <w:gridCol w:w="741"/>
        <w:gridCol w:w="870"/>
        <w:gridCol w:w="855"/>
        <w:gridCol w:w="1185"/>
        <w:gridCol w:w="720"/>
        <w:gridCol w:w="900"/>
        <w:gridCol w:w="765"/>
        <w:gridCol w:w="1170"/>
        <w:gridCol w:w="780"/>
        <w:gridCol w:w="720"/>
        <w:gridCol w:w="1155"/>
        <w:gridCol w:w="780"/>
        <w:gridCol w:w="900"/>
      </w:tblGrid>
      <w:tr>
        <w:tblPrEx>
          <w:tblCellMar>
            <w:top w:w="0" w:type="dxa"/>
            <w:left w:w="108" w:type="dxa"/>
            <w:bottom w:w="0" w:type="dxa"/>
            <w:right w:w="108" w:type="dxa"/>
          </w:tblCellMar>
        </w:tblPrEx>
        <w:trPr>
          <w:trHeight w:val="1355" w:hRule="atLeast"/>
        </w:trPr>
        <w:tc>
          <w:tcPr>
            <w:tcW w:w="14190" w:type="dxa"/>
            <w:gridSpan w:val="16"/>
            <w:tcBorders>
              <w:top w:val="nil"/>
              <w:left w:val="nil"/>
              <w:bottom w:val="nil"/>
              <w:right w:val="nil"/>
            </w:tcBorders>
            <w:noWrap/>
            <w:vAlign w:val="center"/>
          </w:tcPr>
          <w:p>
            <w:pPr>
              <w:widowControl/>
              <w:spacing w:line="500" w:lineRule="exact"/>
              <w:jc w:val="center"/>
              <w:textAlignment w:val="center"/>
              <w:rPr>
                <w:rFonts w:hint="eastAsia" w:ascii="宋体" w:hAnsi="宋体" w:eastAsia="宋体" w:cs="宋体"/>
                <w:b/>
                <w:bCs/>
                <w:color w:val="auto"/>
                <w:spacing w:val="0"/>
                <w:sz w:val="20"/>
                <w:szCs w:val="20"/>
                <w:highlight w:val="none"/>
                <w:lang w:bidi="ar-SA"/>
              </w:rPr>
            </w:pPr>
            <w:r>
              <w:rPr>
                <w:rFonts w:hint="eastAsia" w:ascii="宋体" w:hAnsi="宋体" w:eastAsia="宋体" w:cs="宋体"/>
                <w:b/>
                <w:bCs/>
                <w:color w:val="auto"/>
                <w:spacing w:val="0"/>
                <w:kern w:val="0"/>
                <w:sz w:val="44"/>
                <w:szCs w:val="44"/>
                <w:highlight w:val="none"/>
                <w:lang w:val="en-US" w:eastAsia="zh-CN" w:bidi="ar"/>
              </w:rPr>
              <w:t>永泰县</w:t>
            </w:r>
            <w:r>
              <w:rPr>
                <w:rFonts w:hint="eastAsia" w:ascii="宋体" w:hAnsi="宋体" w:eastAsia="宋体" w:cs="宋体"/>
                <w:b/>
                <w:bCs/>
                <w:color w:val="auto"/>
                <w:spacing w:val="0"/>
                <w:kern w:val="0"/>
                <w:sz w:val="44"/>
                <w:szCs w:val="44"/>
                <w:highlight w:val="none"/>
                <w:lang w:bidi="ar"/>
              </w:rPr>
              <w:t>供水管道和设施老化更新改造年度计划</w:t>
            </w:r>
          </w:p>
        </w:tc>
      </w:tr>
      <w:tr>
        <w:tblPrEx>
          <w:tblCellMar>
            <w:top w:w="0" w:type="dxa"/>
            <w:left w:w="108" w:type="dxa"/>
            <w:bottom w:w="0" w:type="dxa"/>
            <w:right w:w="108" w:type="dxa"/>
          </w:tblCellMar>
        </w:tblPrEx>
        <w:trPr>
          <w:trHeight w:val="470" w:hRule="atLeast"/>
        </w:trPr>
        <w:tc>
          <w:tcPr>
            <w:tcW w:w="4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序号</w:t>
            </w:r>
          </w:p>
        </w:tc>
        <w:tc>
          <w:tcPr>
            <w:tcW w:w="97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地区</w:t>
            </w:r>
          </w:p>
        </w:tc>
        <w:tc>
          <w:tcPr>
            <w:tcW w:w="3724" w:type="dxa"/>
            <w:gridSpan w:val="4"/>
            <w:tcBorders>
              <w:top w:val="single" w:color="000000" w:sz="4" w:space="0"/>
              <w:left w:val="single" w:color="000000" w:sz="4" w:space="0"/>
              <w:bottom w:val="single" w:color="000000" w:sz="4" w:space="0"/>
              <w:right w:val="nil"/>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2022-2025年总计</w:t>
            </w:r>
          </w:p>
        </w:tc>
        <w:tc>
          <w:tcPr>
            <w:tcW w:w="3570" w:type="dxa"/>
            <w:gridSpan w:val="4"/>
            <w:tcBorders>
              <w:top w:val="single" w:color="000000" w:sz="4" w:space="0"/>
              <w:left w:val="single" w:color="000000" w:sz="4" w:space="0"/>
              <w:bottom w:val="single" w:color="000000" w:sz="4" w:space="0"/>
              <w:right w:val="nil"/>
            </w:tcBorders>
            <w:noWrap/>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2023年</w:t>
            </w:r>
          </w:p>
        </w:tc>
        <w:tc>
          <w:tcPr>
            <w:tcW w:w="2670" w:type="dxa"/>
            <w:gridSpan w:val="3"/>
            <w:tcBorders>
              <w:top w:val="single" w:color="000000" w:sz="4" w:space="0"/>
              <w:left w:val="single" w:color="000000" w:sz="4" w:space="0"/>
              <w:bottom w:val="single" w:color="000000" w:sz="4" w:space="0"/>
              <w:right w:val="nil"/>
            </w:tcBorders>
            <w:noWrap/>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2024年</w:t>
            </w:r>
          </w:p>
        </w:tc>
        <w:tc>
          <w:tcPr>
            <w:tcW w:w="283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2025年</w:t>
            </w:r>
          </w:p>
        </w:tc>
      </w:tr>
      <w:tr>
        <w:tblPrEx>
          <w:tblCellMar>
            <w:top w:w="0" w:type="dxa"/>
            <w:left w:w="108" w:type="dxa"/>
            <w:bottom w:w="0" w:type="dxa"/>
            <w:right w:w="108" w:type="dxa"/>
          </w:tblCellMar>
        </w:tblPrEx>
        <w:trPr>
          <w:trHeight w:val="624" w:hRule="atLeast"/>
        </w:trPr>
        <w:tc>
          <w:tcPr>
            <w:tcW w:w="4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bCs/>
                <w:color w:val="auto"/>
                <w:spacing w:val="0"/>
                <w:sz w:val="20"/>
                <w:szCs w:val="20"/>
                <w:highlight w:val="none"/>
                <w:lang w:bidi="ar-SA"/>
              </w:rPr>
            </w:pPr>
          </w:p>
        </w:tc>
        <w:tc>
          <w:tcPr>
            <w:tcW w:w="97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仿宋_GB2312" w:hAnsi="仿宋_GB2312" w:eastAsia="仿宋_GB2312" w:cs="仿宋_GB2312"/>
                <w:b/>
                <w:bCs/>
                <w:color w:val="auto"/>
                <w:spacing w:val="0"/>
                <w:sz w:val="20"/>
                <w:szCs w:val="20"/>
                <w:highlight w:val="none"/>
                <w:lang w:bidi="ar-SA"/>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 xml:space="preserve"> 供水管道</w:t>
            </w:r>
          </w:p>
        </w:tc>
        <w:tc>
          <w:tcPr>
            <w:tcW w:w="2466" w:type="dxa"/>
            <w:gridSpan w:val="3"/>
            <w:tcBorders>
              <w:top w:val="single" w:color="000000" w:sz="4" w:space="0"/>
              <w:left w:val="single" w:color="000000" w:sz="4" w:space="0"/>
              <w:bottom w:val="single" w:color="000000" w:sz="4" w:space="0"/>
              <w:right w:val="nil"/>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二次供水设施</w:t>
            </w:r>
          </w:p>
        </w:tc>
        <w:tc>
          <w:tcPr>
            <w:tcW w:w="1185" w:type="dxa"/>
            <w:tcBorders>
              <w:top w:val="single" w:color="000000" w:sz="4" w:space="0"/>
              <w:left w:val="single" w:color="000000" w:sz="4" w:space="0"/>
              <w:bottom w:val="single" w:color="000000" w:sz="4" w:space="0"/>
              <w:right w:val="nil"/>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 xml:space="preserve"> 供水管道</w:t>
            </w:r>
          </w:p>
        </w:tc>
        <w:tc>
          <w:tcPr>
            <w:tcW w:w="2385" w:type="dxa"/>
            <w:gridSpan w:val="3"/>
            <w:tcBorders>
              <w:top w:val="single" w:color="000000" w:sz="4" w:space="0"/>
              <w:left w:val="single" w:color="000000" w:sz="4" w:space="0"/>
              <w:bottom w:val="single" w:color="000000" w:sz="4" w:space="0"/>
              <w:right w:val="nil"/>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二次供水设施</w:t>
            </w:r>
          </w:p>
        </w:tc>
        <w:tc>
          <w:tcPr>
            <w:tcW w:w="1170" w:type="dxa"/>
            <w:tcBorders>
              <w:top w:val="single" w:color="000000" w:sz="4" w:space="0"/>
              <w:left w:val="single" w:color="000000" w:sz="4" w:space="0"/>
              <w:bottom w:val="single" w:color="000000" w:sz="4" w:space="0"/>
              <w:right w:val="nil"/>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 xml:space="preserve"> 供水管道</w:t>
            </w:r>
          </w:p>
        </w:tc>
        <w:tc>
          <w:tcPr>
            <w:tcW w:w="1500" w:type="dxa"/>
            <w:gridSpan w:val="2"/>
            <w:tcBorders>
              <w:top w:val="single" w:color="000000" w:sz="4" w:space="0"/>
              <w:left w:val="single" w:color="000000" w:sz="4" w:space="0"/>
              <w:bottom w:val="single" w:color="000000" w:sz="4" w:space="0"/>
              <w:right w:val="nil"/>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二次供水设施</w:t>
            </w:r>
          </w:p>
        </w:tc>
        <w:tc>
          <w:tcPr>
            <w:tcW w:w="1155" w:type="dxa"/>
            <w:tcBorders>
              <w:top w:val="single" w:color="000000" w:sz="4" w:space="0"/>
              <w:left w:val="single" w:color="000000" w:sz="4" w:space="0"/>
              <w:bottom w:val="single" w:color="000000" w:sz="4" w:space="0"/>
              <w:right w:val="nil"/>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 xml:space="preserve"> 供水管道</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二次供水设施</w:t>
            </w:r>
          </w:p>
        </w:tc>
      </w:tr>
      <w:tr>
        <w:tblPrEx>
          <w:tblCellMar>
            <w:top w:w="0" w:type="dxa"/>
            <w:left w:w="108" w:type="dxa"/>
            <w:bottom w:w="0" w:type="dxa"/>
            <w:right w:w="108" w:type="dxa"/>
          </w:tblCellMar>
        </w:tblPrEx>
        <w:trPr>
          <w:trHeight w:val="778" w:hRule="atLeast"/>
        </w:trPr>
        <w:tc>
          <w:tcPr>
            <w:tcW w:w="4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b/>
                <w:bCs/>
                <w:color w:val="auto"/>
                <w:spacing w:val="0"/>
                <w:sz w:val="20"/>
                <w:szCs w:val="20"/>
                <w:highlight w:val="none"/>
                <w:lang w:bidi="ar-SA"/>
              </w:rPr>
            </w:pPr>
          </w:p>
        </w:tc>
        <w:tc>
          <w:tcPr>
            <w:tcW w:w="97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仿宋_GB2312" w:hAnsi="仿宋_GB2312" w:eastAsia="仿宋_GB2312" w:cs="仿宋_GB2312"/>
                <w:b/>
                <w:bCs/>
                <w:color w:val="auto"/>
                <w:spacing w:val="0"/>
                <w:sz w:val="20"/>
                <w:szCs w:val="20"/>
                <w:highlight w:val="none"/>
                <w:lang w:bidi="ar-SA"/>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（套）</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地埋池</w:t>
            </w:r>
          </w:p>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（个）</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（户）</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地埋池</w:t>
            </w:r>
          </w:p>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（个）</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（户）</w:t>
            </w:r>
          </w:p>
        </w:tc>
      </w:tr>
      <w:tr>
        <w:tblPrEx>
          <w:tblCellMar>
            <w:top w:w="0" w:type="dxa"/>
            <w:left w:w="108" w:type="dxa"/>
            <w:bottom w:w="0" w:type="dxa"/>
            <w:right w:w="108" w:type="dxa"/>
          </w:tblCellMar>
        </w:tblPrEx>
        <w:trPr>
          <w:trHeight w:val="627" w:hRule="exact"/>
        </w:trPr>
        <w:tc>
          <w:tcPr>
            <w:tcW w:w="41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1</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永泰县</w:t>
            </w:r>
          </w:p>
        </w:tc>
        <w:tc>
          <w:tcPr>
            <w:tcW w:w="1258"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8</w:t>
            </w:r>
          </w:p>
        </w:tc>
        <w:tc>
          <w:tcPr>
            <w:tcW w:w="741"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w:t>
            </w:r>
          </w:p>
        </w:tc>
        <w:tc>
          <w:tcPr>
            <w:tcW w:w="870"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800</w:t>
            </w:r>
          </w:p>
        </w:tc>
        <w:tc>
          <w:tcPr>
            <w:tcW w:w="1185"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2</w:t>
            </w:r>
          </w:p>
        </w:tc>
        <w:tc>
          <w:tcPr>
            <w:tcW w:w="720"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w:t>
            </w:r>
          </w:p>
        </w:tc>
        <w:tc>
          <w:tcPr>
            <w:tcW w:w="900"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w:t>
            </w:r>
          </w:p>
        </w:tc>
        <w:tc>
          <w:tcPr>
            <w:tcW w:w="765"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200</w:t>
            </w:r>
          </w:p>
        </w:tc>
        <w:tc>
          <w:tcPr>
            <w:tcW w:w="1170"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2</w:t>
            </w:r>
          </w:p>
        </w:tc>
        <w:tc>
          <w:tcPr>
            <w:tcW w:w="780"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w:t>
            </w:r>
          </w:p>
        </w:tc>
        <w:tc>
          <w:tcPr>
            <w:tcW w:w="720"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200</w:t>
            </w:r>
          </w:p>
        </w:tc>
        <w:tc>
          <w:tcPr>
            <w:tcW w:w="1155"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2</w:t>
            </w:r>
          </w:p>
        </w:tc>
        <w:tc>
          <w:tcPr>
            <w:tcW w:w="780"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w:t>
            </w:r>
          </w:p>
        </w:tc>
        <w:tc>
          <w:tcPr>
            <w:tcW w:w="900" w:type="dxa"/>
            <w:tcBorders>
              <w:top w:val="single" w:color="000000" w:sz="4" w:space="0"/>
              <w:left w:val="single" w:color="000000" w:sz="4" w:space="0"/>
              <w:bottom w:val="nil"/>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200</w:t>
            </w:r>
          </w:p>
        </w:tc>
      </w:tr>
      <w:tr>
        <w:tblPrEx>
          <w:tblCellMar>
            <w:top w:w="0" w:type="dxa"/>
            <w:left w:w="108" w:type="dxa"/>
            <w:bottom w:w="0" w:type="dxa"/>
            <w:right w:w="108" w:type="dxa"/>
          </w:tblCellMar>
        </w:tblPrEx>
        <w:trPr>
          <w:trHeight w:val="1028" w:hRule="atLeast"/>
        </w:trPr>
        <w:tc>
          <w:tcPr>
            <w:tcW w:w="139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备注</w:t>
            </w:r>
          </w:p>
        </w:tc>
        <w:tc>
          <w:tcPr>
            <w:tcW w:w="12799"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textAlignment w:val="center"/>
              <w:rPr>
                <w:rFonts w:hint="eastAsia" w:ascii="仿宋_GB2312" w:hAnsi="仿宋_GB2312" w:eastAsia="仿宋_GB2312" w:cs="仿宋_GB2312"/>
                <w:color w:val="auto"/>
                <w:spacing w:val="0"/>
                <w:kern w:val="0"/>
                <w:sz w:val="20"/>
                <w:szCs w:val="20"/>
                <w:highlight w:val="none"/>
                <w:lang w:eastAsia="zh-CN" w:bidi="ar"/>
              </w:rPr>
            </w:pPr>
            <w:r>
              <w:rPr>
                <w:rFonts w:hint="eastAsia" w:ascii="仿宋_GB2312" w:hAnsi="仿宋_GB2312" w:eastAsia="仿宋_GB2312" w:cs="仿宋_GB2312"/>
                <w:color w:val="auto"/>
                <w:spacing w:val="0"/>
                <w:kern w:val="0"/>
                <w:sz w:val="20"/>
                <w:szCs w:val="20"/>
                <w:highlight w:val="none"/>
                <w:lang w:bidi="ar"/>
              </w:rPr>
              <w:t>1.上述年度计划不含供水管道老化评估中滚动产生的老旧管网和安全隐患，按照即查即改原则，滚动列入年度计划并组织实施改造。</w:t>
            </w:r>
          </w:p>
          <w:p>
            <w:pPr>
              <w:widowControl/>
              <w:spacing w:line="240" w:lineRule="auto"/>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2.2022年</w:t>
            </w:r>
            <w:r>
              <w:rPr>
                <w:rFonts w:hint="eastAsia" w:ascii="仿宋_GB2312" w:hAnsi="仿宋_GB2312" w:eastAsia="仿宋_GB2312" w:cs="仿宋_GB2312"/>
                <w:color w:val="auto"/>
                <w:spacing w:val="0"/>
                <w:kern w:val="0"/>
                <w:sz w:val="20"/>
                <w:szCs w:val="20"/>
                <w:highlight w:val="none"/>
                <w:lang w:eastAsia="zh-CN" w:bidi="ar"/>
              </w:rPr>
              <w:t>全县</w:t>
            </w:r>
            <w:r>
              <w:rPr>
                <w:rFonts w:hint="eastAsia" w:ascii="仿宋_GB2312" w:hAnsi="仿宋_GB2312" w:eastAsia="仿宋_GB2312" w:cs="仿宋_GB2312"/>
                <w:color w:val="auto"/>
                <w:spacing w:val="0"/>
                <w:kern w:val="0"/>
                <w:sz w:val="20"/>
                <w:szCs w:val="20"/>
                <w:highlight w:val="none"/>
                <w:lang w:bidi="ar"/>
              </w:rPr>
              <w:t>供水管道、二次供水设施老化更新改造计划任务已完成。</w:t>
            </w:r>
            <w:bookmarkStart w:id="0" w:name="_GoBack"/>
            <w:bookmarkEnd w:id="0"/>
          </w:p>
        </w:tc>
      </w:tr>
    </w:tbl>
    <w:tbl>
      <w:tblPr>
        <w:tblStyle w:val="4"/>
        <w:tblpPr w:leftFromText="180" w:rightFromText="180" w:vertAnchor="text" w:horzAnchor="page" w:tblpX="2213" w:tblpY="870"/>
        <w:tblOverlap w:val="never"/>
        <w:tblW w:w="12849" w:type="dxa"/>
        <w:tblInd w:w="0" w:type="dxa"/>
        <w:tblLayout w:type="fixed"/>
        <w:tblCellMar>
          <w:top w:w="0" w:type="dxa"/>
          <w:left w:w="108" w:type="dxa"/>
          <w:bottom w:w="0" w:type="dxa"/>
          <w:right w:w="108" w:type="dxa"/>
        </w:tblCellMar>
      </w:tblPr>
      <w:tblGrid>
        <w:gridCol w:w="780"/>
        <w:gridCol w:w="1443"/>
        <w:gridCol w:w="1211"/>
        <w:gridCol w:w="1265"/>
        <w:gridCol w:w="1247"/>
        <w:gridCol w:w="1373"/>
        <w:gridCol w:w="1283"/>
        <w:gridCol w:w="1229"/>
        <w:gridCol w:w="1518"/>
        <w:gridCol w:w="1500"/>
      </w:tblGrid>
      <w:tr>
        <w:tblPrEx>
          <w:tblCellMar>
            <w:top w:w="0" w:type="dxa"/>
            <w:left w:w="108" w:type="dxa"/>
            <w:bottom w:w="0" w:type="dxa"/>
            <w:right w:w="108" w:type="dxa"/>
          </w:tblCellMar>
        </w:tblPrEx>
        <w:trPr>
          <w:trHeight w:val="1316" w:hRule="atLeast"/>
        </w:trPr>
        <w:tc>
          <w:tcPr>
            <w:tcW w:w="12849" w:type="dxa"/>
            <w:gridSpan w:val="10"/>
            <w:tcBorders>
              <w:top w:val="nil"/>
              <w:left w:val="nil"/>
              <w:bottom w:val="nil"/>
              <w:right w:val="nil"/>
            </w:tcBorders>
            <w:noWrap/>
            <w:vAlign w:val="center"/>
          </w:tcPr>
          <w:p>
            <w:pPr>
              <w:widowControl/>
              <w:spacing w:line="520" w:lineRule="exact"/>
              <w:jc w:val="center"/>
              <w:textAlignment w:val="center"/>
              <w:rPr>
                <w:rFonts w:hint="eastAsia" w:ascii="宋体" w:hAnsi="宋体" w:eastAsia="宋体" w:cs="宋体"/>
                <w:b/>
                <w:bCs/>
                <w:color w:val="auto"/>
                <w:spacing w:val="0"/>
                <w:kern w:val="0"/>
                <w:sz w:val="44"/>
                <w:szCs w:val="44"/>
                <w:highlight w:val="none"/>
                <w:lang w:val="en-US" w:eastAsia="zh-CN" w:bidi="ar"/>
              </w:rPr>
            </w:pPr>
          </w:p>
          <w:p>
            <w:pPr>
              <w:widowControl/>
              <w:spacing w:line="520" w:lineRule="exact"/>
              <w:jc w:val="center"/>
              <w:textAlignment w:val="center"/>
              <w:rPr>
                <w:rFonts w:hint="eastAsia" w:ascii="宋体" w:hAnsi="宋体" w:eastAsia="宋体" w:cs="宋体"/>
                <w:b/>
                <w:bCs/>
                <w:color w:val="auto"/>
                <w:spacing w:val="0"/>
                <w:kern w:val="0"/>
                <w:sz w:val="44"/>
                <w:szCs w:val="44"/>
                <w:highlight w:val="none"/>
                <w:lang w:val="en-US" w:eastAsia="zh-CN" w:bidi="ar"/>
              </w:rPr>
            </w:pPr>
          </w:p>
          <w:p>
            <w:pPr>
              <w:widowControl w:val="0"/>
              <w:autoSpaceDE w:val="0"/>
              <w:autoSpaceDN w:val="0"/>
              <w:adjustRightInd w:val="0"/>
              <w:rPr>
                <w:rFonts w:hint="eastAsia" w:ascii="黑体" w:hAnsi="黑体" w:eastAsia="黑体" w:cs="黑体"/>
                <w:color w:val="auto"/>
                <w:sz w:val="32"/>
                <w:szCs w:val="32"/>
                <w:highlight w:val="none"/>
                <w:lang w:val="en-US" w:eastAsia="zh-CN" w:bidi="ar-SA"/>
              </w:rPr>
            </w:pPr>
            <w:r>
              <w:rPr>
                <w:rFonts w:hint="eastAsia" w:ascii="黑体" w:hAnsi="黑体" w:eastAsia="黑体" w:cs="黑体"/>
                <w:color w:val="auto"/>
                <w:sz w:val="32"/>
                <w:szCs w:val="32"/>
                <w:highlight w:val="none"/>
                <w:lang w:val="en-US" w:eastAsia="zh-CN" w:bidi="ar-SA"/>
              </w:rPr>
              <w:t>附件3</w:t>
            </w:r>
          </w:p>
          <w:p>
            <w:pPr>
              <w:widowControl/>
              <w:spacing w:line="520" w:lineRule="exact"/>
              <w:jc w:val="center"/>
              <w:textAlignment w:val="center"/>
              <w:rPr>
                <w:rFonts w:hint="eastAsia" w:ascii="宋体" w:hAnsi="宋体" w:eastAsia="宋体" w:cs="宋体"/>
                <w:b/>
                <w:bCs/>
                <w:color w:val="auto"/>
                <w:spacing w:val="0"/>
                <w:kern w:val="0"/>
                <w:sz w:val="44"/>
                <w:szCs w:val="44"/>
                <w:highlight w:val="none"/>
                <w:lang w:val="en-US" w:eastAsia="zh-CN" w:bidi="ar"/>
              </w:rPr>
            </w:pPr>
          </w:p>
          <w:p>
            <w:pPr>
              <w:widowControl/>
              <w:spacing w:line="520" w:lineRule="exact"/>
              <w:jc w:val="center"/>
              <w:textAlignment w:val="center"/>
              <w:rPr>
                <w:rFonts w:hint="eastAsia" w:ascii="宋体" w:hAnsi="宋体" w:eastAsia="宋体" w:cs="宋体"/>
                <w:b/>
                <w:bCs/>
                <w:color w:val="auto"/>
                <w:spacing w:val="0"/>
                <w:kern w:val="0"/>
                <w:sz w:val="44"/>
                <w:szCs w:val="44"/>
                <w:highlight w:val="none"/>
                <w:lang w:bidi="ar"/>
              </w:rPr>
            </w:pPr>
            <w:r>
              <w:rPr>
                <w:rFonts w:hint="eastAsia" w:ascii="宋体" w:hAnsi="宋体" w:eastAsia="宋体" w:cs="宋体"/>
                <w:b/>
                <w:bCs/>
                <w:color w:val="auto"/>
                <w:spacing w:val="0"/>
                <w:kern w:val="0"/>
                <w:sz w:val="44"/>
                <w:szCs w:val="44"/>
                <w:highlight w:val="none"/>
                <w:lang w:val="en-US" w:eastAsia="zh-CN" w:bidi="ar"/>
              </w:rPr>
              <w:t>永泰县</w:t>
            </w:r>
            <w:r>
              <w:rPr>
                <w:rFonts w:hint="eastAsia" w:ascii="宋体" w:hAnsi="宋体" w:eastAsia="宋体" w:cs="宋体"/>
                <w:b/>
                <w:bCs/>
                <w:color w:val="auto"/>
                <w:spacing w:val="0"/>
                <w:kern w:val="0"/>
                <w:sz w:val="44"/>
                <w:szCs w:val="44"/>
                <w:highlight w:val="none"/>
                <w:lang w:bidi="ar"/>
              </w:rPr>
              <w:t>排水管道老化更新改造年度计划</w:t>
            </w:r>
          </w:p>
          <w:p>
            <w:pPr>
              <w:widowControl/>
              <w:spacing w:line="520" w:lineRule="exact"/>
              <w:jc w:val="center"/>
              <w:textAlignment w:val="center"/>
              <w:rPr>
                <w:rFonts w:hint="eastAsia" w:ascii="宋体" w:hAnsi="宋体" w:eastAsia="宋体" w:cs="宋体"/>
                <w:b/>
                <w:bCs/>
                <w:color w:val="auto"/>
                <w:spacing w:val="0"/>
                <w:kern w:val="0"/>
                <w:sz w:val="44"/>
                <w:szCs w:val="44"/>
                <w:highlight w:val="none"/>
                <w:lang w:bidi="ar"/>
              </w:rPr>
            </w:pPr>
          </w:p>
        </w:tc>
      </w:tr>
      <w:tr>
        <w:tblPrEx>
          <w:tblCellMar>
            <w:top w:w="0" w:type="dxa"/>
            <w:left w:w="108" w:type="dxa"/>
            <w:bottom w:w="0" w:type="dxa"/>
            <w:right w:w="108" w:type="dxa"/>
          </w:tblCellMar>
        </w:tblPrEx>
        <w:trPr>
          <w:trHeight w:val="825" w:hRule="atLeast"/>
        </w:trPr>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序号</w:t>
            </w:r>
          </w:p>
        </w:tc>
        <w:tc>
          <w:tcPr>
            <w:tcW w:w="144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地区</w:t>
            </w:r>
          </w:p>
        </w:tc>
        <w:tc>
          <w:tcPr>
            <w:tcW w:w="24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2022-2025年总计</w:t>
            </w:r>
          </w:p>
        </w:tc>
        <w:tc>
          <w:tcPr>
            <w:tcW w:w="262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2023年</w:t>
            </w:r>
          </w:p>
        </w:tc>
        <w:tc>
          <w:tcPr>
            <w:tcW w:w="251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2024年</w:t>
            </w:r>
          </w:p>
        </w:tc>
        <w:tc>
          <w:tcPr>
            <w:tcW w:w="301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2025年</w:t>
            </w:r>
          </w:p>
        </w:tc>
      </w:tr>
      <w:tr>
        <w:tblPrEx>
          <w:tblCellMar>
            <w:top w:w="0" w:type="dxa"/>
            <w:left w:w="108" w:type="dxa"/>
            <w:bottom w:w="0" w:type="dxa"/>
            <w:right w:w="108" w:type="dxa"/>
          </w:tblCellMar>
        </w:tblPrEx>
        <w:trPr>
          <w:trHeight w:val="879"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仿宋_GB2312" w:hAnsi="仿宋_GB2312" w:eastAsia="仿宋_GB2312" w:cs="仿宋_GB2312"/>
                <w:b/>
                <w:bCs/>
                <w:color w:val="auto"/>
                <w:spacing w:val="0"/>
                <w:sz w:val="20"/>
                <w:szCs w:val="20"/>
                <w:highlight w:val="none"/>
                <w:lang w:bidi="ar-SA"/>
              </w:rPr>
            </w:pPr>
          </w:p>
        </w:tc>
        <w:tc>
          <w:tcPr>
            <w:tcW w:w="144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仿宋_GB2312" w:hAnsi="仿宋_GB2312" w:eastAsia="仿宋_GB2312" w:cs="仿宋_GB2312"/>
                <w:b/>
                <w:bCs/>
                <w:color w:val="auto"/>
                <w:spacing w:val="0"/>
                <w:sz w:val="20"/>
                <w:szCs w:val="20"/>
                <w:highlight w:val="none"/>
                <w:lang w:bidi="ar-SA"/>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污水管道</w:t>
            </w:r>
          </w:p>
          <w:p>
            <w:pPr>
              <w:widowControl/>
              <w:spacing w:line="240" w:lineRule="exact"/>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雨水管道</w:t>
            </w:r>
          </w:p>
          <w:p>
            <w:pPr>
              <w:widowControl/>
              <w:spacing w:line="240" w:lineRule="exact"/>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污水管道</w:t>
            </w:r>
          </w:p>
          <w:p>
            <w:pPr>
              <w:widowControl/>
              <w:spacing w:line="240" w:lineRule="exact"/>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雨水管道</w:t>
            </w:r>
          </w:p>
          <w:p>
            <w:pPr>
              <w:widowControl/>
              <w:spacing w:line="240" w:lineRule="exact"/>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污水管道</w:t>
            </w:r>
          </w:p>
          <w:p>
            <w:pPr>
              <w:widowControl/>
              <w:spacing w:line="240" w:lineRule="exact"/>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雨水管道</w:t>
            </w:r>
          </w:p>
          <w:p>
            <w:pPr>
              <w:widowControl/>
              <w:spacing w:line="240" w:lineRule="exact"/>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污水管道</w:t>
            </w:r>
          </w:p>
          <w:p>
            <w:pPr>
              <w:widowControl/>
              <w:spacing w:line="240" w:lineRule="exact"/>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b/>
                <w:bCs/>
                <w:color w:val="auto"/>
                <w:spacing w:val="0"/>
                <w:kern w:val="0"/>
                <w:sz w:val="20"/>
                <w:szCs w:val="20"/>
                <w:highlight w:val="none"/>
                <w:lang w:eastAsia="zh-CN" w:bidi="ar"/>
              </w:rPr>
            </w:pPr>
            <w:r>
              <w:rPr>
                <w:rFonts w:hint="eastAsia" w:ascii="仿宋_GB2312" w:hAnsi="仿宋_GB2312" w:eastAsia="仿宋_GB2312" w:cs="仿宋_GB2312"/>
                <w:b/>
                <w:bCs/>
                <w:color w:val="auto"/>
                <w:spacing w:val="0"/>
                <w:kern w:val="0"/>
                <w:sz w:val="20"/>
                <w:szCs w:val="20"/>
                <w:highlight w:val="none"/>
                <w:lang w:bidi="ar"/>
              </w:rPr>
              <w:t>雨水管道</w:t>
            </w:r>
          </w:p>
          <w:p>
            <w:pPr>
              <w:widowControl/>
              <w:spacing w:line="240" w:lineRule="exact"/>
              <w:jc w:val="center"/>
              <w:textAlignment w:val="center"/>
              <w:rPr>
                <w:rFonts w:hint="eastAsia" w:ascii="仿宋_GB2312" w:hAnsi="仿宋_GB2312" w:eastAsia="仿宋_GB2312" w:cs="仿宋_GB2312"/>
                <w:b/>
                <w:bCs/>
                <w:color w:val="auto"/>
                <w:spacing w:val="0"/>
                <w:sz w:val="20"/>
                <w:szCs w:val="20"/>
                <w:highlight w:val="none"/>
                <w:lang w:bidi="ar-SA"/>
              </w:rPr>
            </w:pPr>
            <w:r>
              <w:rPr>
                <w:rFonts w:hint="eastAsia" w:ascii="仿宋_GB2312" w:hAnsi="仿宋_GB2312" w:eastAsia="仿宋_GB2312" w:cs="仿宋_GB2312"/>
                <w:b/>
                <w:bCs/>
                <w:color w:val="auto"/>
                <w:spacing w:val="0"/>
                <w:kern w:val="0"/>
                <w:sz w:val="20"/>
                <w:szCs w:val="20"/>
                <w:highlight w:val="none"/>
                <w:lang w:bidi="ar"/>
              </w:rPr>
              <w:t>（公里）</w:t>
            </w:r>
          </w:p>
        </w:tc>
      </w:tr>
      <w:tr>
        <w:tblPrEx>
          <w:tblCellMar>
            <w:top w:w="0" w:type="dxa"/>
            <w:left w:w="108" w:type="dxa"/>
            <w:bottom w:w="0" w:type="dxa"/>
            <w:right w:w="108" w:type="dxa"/>
          </w:tblCellMar>
        </w:tblPrEx>
        <w:trPr>
          <w:trHeight w:val="842" w:hRule="exac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val="en-US" w:eastAsia="zh-CN" w:bidi="ar-SA"/>
              </w:rPr>
            </w:pPr>
            <w:r>
              <w:rPr>
                <w:rFonts w:hint="eastAsia" w:ascii="仿宋_GB2312" w:hAnsi="仿宋_GB2312" w:eastAsia="仿宋_GB2312" w:cs="仿宋_GB2312"/>
                <w:color w:val="auto"/>
                <w:spacing w:val="0"/>
                <w:sz w:val="20"/>
                <w:szCs w:val="20"/>
                <w:highlight w:val="none"/>
                <w:lang w:val="en-US" w:eastAsia="zh-CN" w:bidi="ar-SA"/>
              </w:rPr>
              <w:t>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永泰县</w:t>
            </w:r>
          </w:p>
        </w:tc>
        <w:tc>
          <w:tcPr>
            <w:tcW w:w="121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2.5</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0</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0.5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0</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1</w:t>
            </w:r>
          </w:p>
        </w:tc>
        <w:tc>
          <w:tcPr>
            <w:tcW w:w="122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0</w:t>
            </w:r>
          </w:p>
        </w:tc>
        <w:tc>
          <w:tcPr>
            <w:tcW w:w="151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0.7</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0</w:t>
            </w:r>
          </w:p>
        </w:tc>
      </w:tr>
      <w:tr>
        <w:tblPrEx>
          <w:tblCellMar>
            <w:top w:w="0" w:type="dxa"/>
            <w:left w:w="108" w:type="dxa"/>
            <w:bottom w:w="0" w:type="dxa"/>
            <w:right w:w="108" w:type="dxa"/>
          </w:tblCellMar>
        </w:tblPrEx>
        <w:trPr>
          <w:trHeight w:val="820" w:hRule="atLeast"/>
        </w:trPr>
        <w:tc>
          <w:tcPr>
            <w:tcW w:w="222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备注</w:t>
            </w:r>
          </w:p>
        </w:tc>
        <w:tc>
          <w:tcPr>
            <w:tcW w:w="10626" w:type="dxa"/>
            <w:gridSpan w:val="8"/>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hint="eastAsia" w:ascii="仿宋_GB2312" w:hAnsi="仿宋_GB2312" w:eastAsia="仿宋_GB2312" w:cs="仿宋_GB2312"/>
                <w:color w:val="auto"/>
                <w:spacing w:val="0"/>
                <w:kern w:val="0"/>
                <w:sz w:val="20"/>
                <w:szCs w:val="20"/>
                <w:highlight w:val="none"/>
                <w:lang w:eastAsia="zh-CN" w:bidi="ar"/>
              </w:rPr>
            </w:pPr>
            <w:r>
              <w:rPr>
                <w:rFonts w:hint="eastAsia" w:ascii="仿宋_GB2312" w:hAnsi="仿宋_GB2312" w:eastAsia="仿宋_GB2312" w:cs="仿宋_GB2312"/>
                <w:color w:val="auto"/>
                <w:spacing w:val="0"/>
                <w:kern w:val="0"/>
                <w:sz w:val="20"/>
                <w:szCs w:val="20"/>
                <w:highlight w:val="none"/>
                <w:lang w:bidi="ar"/>
              </w:rPr>
              <w:t>1.年度计划量为所辖城市和县城汇总量。2022年</w:t>
            </w:r>
            <w:r>
              <w:rPr>
                <w:rFonts w:hint="eastAsia" w:ascii="仿宋_GB2312" w:hAnsi="仿宋_GB2312" w:eastAsia="仿宋_GB2312" w:cs="仿宋_GB2312"/>
                <w:color w:val="auto"/>
                <w:spacing w:val="0"/>
                <w:kern w:val="0"/>
                <w:sz w:val="20"/>
                <w:szCs w:val="20"/>
                <w:highlight w:val="none"/>
                <w:lang w:eastAsia="zh-CN" w:bidi="ar"/>
              </w:rPr>
              <w:t>全县排水管</w:t>
            </w:r>
            <w:r>
              <w:rPr>
                <w:rFonts w:hint="eastAsia" w:ascii="仿宋_GB2312" w:hAnsi="仿宋_GB2312" w:eastAsia="仿宋_GB2312" w:cs="仿宋_GB2312"/>
                <w:color w:val="auto"/>
                <w:spacing w:val="0"/>
                <w:kern w:val="0"/>
                <w:sz w:val="20"/>
                <w:szCs w:val="20"/>
                <w:highlight w:val="none"/>
                <w:lang w:bidi="ar"/>
              </w:rPr>
              <w:t>老化更新改造计划任务已完成</w:t>
            </w:r>
            <w:r>
              <w:rPr>
                <w:rFonts w:hint="eastAsia" w:ascii="仿宋_GB2312" w:hAnsi="仿宋_GB2312" w:eastAsia="仿宋_GB2312" w:cs="仿宋_GB2312"/>
                <w:color w:val="auto"/>
                <w:spacing w:val="0"/>
                <w:kern w:val="0"/>
                <w:sz w:val="20"/>
                <w:szCs w:val="20"/>
                <w:highlight w:val="none"/>
                <w:lang w:eastAsia="zh-CN" w:bidi="ar"/>
              </w:rPr>
              <w:t>。</w:t>
            </w:r>
          </w:p>
          <w:p>
            <w:pPr>
              <w:widowControl/>
              <w:spacing w:line="240" w:lineRule="exact"/>
              <w:jc w:val="left"/>
              <w:textAlignment w:val="center"/>
              <w:rPr>
                <w:rFonts w:hint="eastAsia" w:ascii="仿宋_GB2312" w:hAnsi="仿宋_GB2312" w:eastAsia="仿宋_GB2312" w:cs="仿宋_GB2312"/>
                <w:color w:val="auto"/>
                <w:spacing w:val="0"/>
                <w:sz w:val="20"/>
                <w:szCs w:val="20"/>
                <w:highlight w:val="none"/>
                <w:lang w:bidi="ar-SA"/>
              </w:rPr>
            </w:pPr>
            <w:r>
              <w:rPr>
                <w:rFonts w:hint="eastAsia" w:ascii="仿宋_GB2312" w:hAnsi="仿宋_GB2312" w:eastAsia="仿宋_GB2312" w:cs="仿宋_GB2312"/>
                <w:color w:val="auto"/>
                <w:spacing w:val="0"/>
                <w:kern w:val="0"/>
                <w:sz w:val="20"/>
                <w:szCs w:val="20"/>
                <w:highlight w:val="none"/>
                <w:lang w:bidi="ar"/>
              </w:rPr>
              <w:t>2.上述年度计划不含排水管道老化评估中滚动产生的老旧管网和安全隐患，按照即查即改原则，滚动列入年度计划并组织实施改造。</w:t>
            </w:r>
          </w:p>
        </w:tc>
      </w:tr>
    </w:tbl>
    <w:p>
      <w:pPr>
        <w:widowControl w:val="0"/>
        <w:autoSpaceDE w:val="0"/>
        <w:autoSpaceDN w:val="0"/>
        <w:adjustRightInd w:val="0"/>
        <w:rPr>
          <w:rFonts w:hint="eastAsia" w:ascii="仿宋_GB2312" w:hAnsi="仿宋_GB2312" w:eastAsia="仿宋_GB2312" w:cs="仿宋_GB2312"/>
          <w:color w:val="auto"/>
          <w:sz w:val="32"/>
          <w:szCs w:val="32"/>
          <w:highlight w:val="none"/>
          <w:lang w:val="en-US" w:eastAsia="zh-CN" w:bidi="ar-SA"/>
        </w:rPr>
      </w:pPr>
    </w:p>
    <w:p>
      <w:pPr>
        <w:widowControl w:val="0"/>
        <w:autoSpaceDE w:val="0"/>
        <w:autoSpaceDN w:val="0"/>
        <w:adjustRightInd w:val="0"/>
        <w:rPr>
          <w:rFonts w:ascii="仿宋_GB2312" w:hAnsi="仿宋_GB2312" w:eastAsia="仿宋_GB2312" w:cs="仿宋_GB2312"/>
          <w:color w:val="auto"/>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36" w:firstLineChars="200"/>
        <w:jc w:val="both"/>
        <w:textAlignment w:val="auto"/>
        <w:rPr>
          <w:rFonts w:hint="default" w:ascii="仿宋_GB2312" w:hAnsi="仿宋_GB2312" w:eastAsia="仿宋_GB2312" w:cs="仿宋_GB2312"/>
          <w:spacing w:val="0"/>
          <w:sz w:val="32"/>
          <w:szCs w:val="32"/>
          <w:lang w:val="en-US" w:eastAsia="zh-CN" w:bidi="ar-SA"/>
        </w:rPr>
      </w:pPr>
    </w:p>
    <w:p>
      <w:pPr>
        <w:jc w:val="both"/>
        <w:rPr>
          <w:rFonts w:hint="eastAsia"/>
        </w:rPr>
      </w:pPr>
    </w:p>
    <w:p/>
    <w:sectPr>
      <w:headerReference r:id="rId6" w:type="default"/>
      <w:footerReference r:id="rId8" w:type="default"/>
      <w:headerReference r:id="rId7" w:type="even"/>
      <w:footerReference r:id="rId9" w:type="even"/>
      <w:pgSz w:w="16783" w:h="11850" w:orient="landscape"/>
      <w:pgMar w:top="1587" w:right="1587" w:bottom="1587" w:left="1587" w:header="851" w:footer="1361" w:gutter="0"/>
      <w:pgBorders>
        <w:top w:val="none" w:sz="0" w:space="0"/>
        <w:left w:val="none" w:sz="0" w:space="0"/>
        <w:bottom w:val="none" w:sz="0" w:space="0"/>
        <w:right w:val="none" w:sz="0" w:space="0"/>
      </w:pgBorders>
      <w:pgNumType w:fmt="numberInDash"/>
      <w:cols w:space="720" w:num="1"/>
      <w:rtlGutter w:val="0"/>
      <w:docGrid w:type="linesAndChars" w:linePitch="579"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- 10 -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1"/>
      <w:jc w:val="right"/>
      <w:rPr>
        <w:rFonts w:hint="eastAsia" w:ascii="楷体_GB2312" w:eastAsia="楷体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- 11 -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val="0"/>
      <w:autoSpaceDE w:val="0"/>
      <w:autoSpaceDN w:val="0"/>
      <w:adjustRightInd w:val="0"/>
      <w:snapToGrid/>
      <w:spacing w:before="0" w:beforeLines="0" w:beforeAutospacing="0" w:after="0" w:afterLines="0" w:afterAutospacing="0" w:line="240" w:lineRule="atLeast"/>
      <w:ind w:left="0" w:leftChars="0" w:right="0" w:firstLine="280" w:firstLineChars="100"/>
      <w:jc w:val="left"/>
      <w:textAlignment w:val="baseline"/>
      <w:outlineLvl w:val="9"/>
      <w:rPr>
        <w:rFonts w:hint="eastAsia" w:ascii="楷体_GB2312" w:eastAsia="楷体_GB2312"/>
        <w:sz w:val="28"/>
      </w:rPr>
    </w:pPr>
    <w:r>
      <w:rPr>
        <w:rStyle w:val="6"/>
        <w:rFonts w:hint="eastAsia" w:ascii="楷体_GB2312" w:eastAsia="楷体_GB2312"/>
        <w:sz w:val="28"/>
      </w:rPr>
      <w:t>—</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hint="eastAsia" w:ascii="宋体" w:hAnsi="宋体" w:eastAsia="宋体"/>
        <w:sz w:val="28"/>
      </w:rPr>
      <w:t>2</w:t>
    </w:r>
    <w:r>
      <w:rPr>
        <w:rFonts w:hint="eastAsia" w:ascii="宋体" w:hAnsi="宋体" w:eastAsia="宋体"/>
        <w:sz w:val="28"/>
      </w:rPr>
      <w:fldChar w:fldCharType="end"/>
    </w:r>
    <w:r>
      <w:rPr>
        <w:rStyle w:val="6"/>
        <w:rFonts w:hint="eastAsia" w:ascii="楷体_GB2312" w:eastAsia="楷体_GB2312"/>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1NDNjMjliOWYxOTIwNTg4NGMyMDY0NjA4ZGQ1YjQifQ=="/>
  </w:docVars>
  <w:rsids>
    <w:rsidRoot w:val="164B148B"/>
    <w:rsid w:val="164B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cs="Times New Roman"/>
      <w:spacing w:val="0"/>
      <w:kern w:val="2"/>
      <w:sz w:val="32"/>
      <w:lang w:val="en-US" w:eastAsia="zh-CN"/>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2024-01-03T07:52:00Z</dcterms:created>
  <dc:creator>y</dc:creator>
  <cp:lastModifiedBy>y</cp:lastModifiedBy>
  <dcterms:modified xsi:type="dcterms:W3CDTF">2024-01-03T07:54:22Z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70B9F1203C904BFB965999441BFFFEEC_11</vt:lpwstr>
  </property>
</Properties>
</file>