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56" w:firstLineChars="10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spacing w:val="8"/>
          <w:w w:val="10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spacing w:val="8"/>
          <w:w w:val="100"/>
          <w:sz w:val="44"/>
          <w:szCs w:val="44"/>
          <w:u w:val="none"/>
          <w:shd w:val="clear" w:color="auto" w:fill="FFFFFF"/>
          <w:lang w:val="en-US" w:eastAsia="zh-CN"/>
        </w:rPr>
        <w:t>关于进一步加强防火门日常管理的通告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36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w w:val="1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w w:val="100"/>
          <w:sz w:val="32"/>
          <w:szCs w:val="32"/>
          <w:u w:val="none"/>
          <w:shd w:val="clear" w:color="auto" w:fill="FFFFFF"/>
          <w:lang w:val="en-US" w:eastAsia="zh-CN"/>
        </w:rPr>
        <w:t>（参考模板）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36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w w:val="1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Times New Roman" w:cs="Times New Roman"/>
          <w:w w:val="100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、物业服务企业：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w w:val="100"/>
          <w:sz w:val="32"/>
          <w:szCs w:val="32"/>
          <w:lang w:val="en-US" w:eastAsia="zh-CN"/>
        </w:rPr>
        <w:t>近年来，高层建筑因防火门管理不到位、常闭式防火门敞开等问题，导致“小火亡人”火灾事故多发。2018年哈尔滨北龙汤泉酒店“8·25”火灾，因走廊常闭式防火门处于敞开状态，导致有毒有害浓烟迅速蔓延至客房，造成20人死亡。2022年12月1日，西安市未央区一高层住宅发生火灾，造成5人死亡，该起火灾也存在楼梯间堆放杂物、防火门分隔不到位等问题，导致浓烟沿楼梯间蔓延，造成人员伤亡。为深刻汲取典型火灾事故教训，推动加强建筑防火门日常管理</w:t>
      </w:r>
      <w:r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  <w:t>，请各村、物业服务企业做好以下管理：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  <w:t> 1.杜绝常闭式防火门在使用过程中人为地使其常开，成为“常开”防火门，一旦发生火灾，这样的“常开”防火门起不到阻挡烟雾和防火的作用；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  <w:t> 2.设置门禁系统的防火门，应保证火灾时不需使用钥匙等任何工具即能从内部易于打开；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  <w:t>3 . 防火门门扇开启或关闭应用力适度；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  <w:t>4. 如遇常闭防火门“常开”或防火门故障，应尽快报修，消防维保人员加强巡查保养，保障防火门功能有效。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w w:val="100"/>
          <w:sz w:val="32"/>
          <w:szCs w:val="32"/>
          <w:lang w:val="en-US" w:eastAsia="zh-CN"/>
        </w:rPr>
        <w:t>5.</w:t>
      </w:r>
      <w:r>
        <w:rPr>
          <w:rFonts w:hint="default" w:ascii="仿宋_GB2312" w:hAnsi="Times New Roman" w:eastAsia="仿宋_GB2312" w:cs="Times New Roman"/>
          <w:w w:val="100"/>
          <w:sz w:val="32"/>
          <w:szCs w:val="32"/>
          <w:lang w:val="en-US" w:eastAsia="zh-CN"/>
        </w:rPr>
        <w:t>对建筑管理单位未按照国家标准、行业标准配置防火门，或者防火门管理不到位、常闭式防火门敞开、损坏防火门等违法行为，消防部门</w:t>
      </w:r>
      <w:r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  <w:t>将</w:t>
      </w:r>
      <w:r>
        <w:rPr>
          <w:rFonts w:hint="default" w:ascii="仿宋_GB2312" w:hAnsi="Times New Roman" w:eastAsia="仿宋_GB2312" w:cs="Times New Roman"/>
          <w:w w:val="100"/>
          <w:sz w:val="32"/>
          <w:szCs w:val="32"/>
          <w:lang w:val="en-US" w:eastAsia="zh-CN"/>
        </w:rPr>
        <w:t>应依据《消防法》第六十条第一款第一项予以处罚；对损坏或者擅自拆除防火门及其组件的违法行为，</w:t>
      </w:r>
      <w:r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  <w:t>将</w:t>
      </w:r>
      <w:r>
        <w:rPr>
          <w:rFonts w:hint="default" w:ascii="仿宋_GB2312" w:hAnsi="Times New Roman" w:eastAsia="仿宋_GB2312" w:cs="Times New Roman"/>
          <w:w w:val="100"/>
          <w:sz w:val="32"/>
          <w:szCs w:val="32"/>
          <w:lang w:val="en-US" w:eastAsia="zh-CN"/>
        </w:rPr>
        <w:t>依据《消防法》第六十条第一款第二项予以处罚。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w w:val="100"/>
          <w:sz w:val="32"/>
          <w:szCs w:val="32"/>
          <w:lang w:val="en-US" w:eastAsia="zh-CN"/>
        </w:rPr>
        <w:t>如发现违法行为，可直接拨打12345进行举报投诉。</w:t>
      </w:r>
    </w:p>
    <w:p>
      <w:pPr>
        <w:pStyle w:val="6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6" w:firstLineChars="200"/>
        <w:textAlignment w:val="auto"/>
        <w:rPr>
          <w:rFonts w:hint="eastAsia" w:ascii="仿宋_GB2312" w:hAnsi="仿宋" w:eastAsia="仿宋_GB2312" w:cs="仿宋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" w:eastAsia="仿宋_GB2312" w:cs="仿宋"/>
          <w:w w:val="100"/>
          <w:sz w:val="32"/>
          <w:szCs w:val="32"/>
        </w:rPr>
        <w:t>清凉镇人民政府　　　　　　　　　　　　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" w:cs="仿宋"/>
          <w:w w:val="100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" w:eastAsia="仿宋_GB2312" w:cs="仿宋"/>
          <w:w w:val="100"/>
          <w:sz w:val="32"/>
          <w:szCs w:val="32"/>
        </w:rPr>
        <w:t>202</w:t>
      </w:r>
      <w:r>
        <w:rPr>
          <w:rFonts w:hint="eastAsia" w:ascii="仿宋_GB2312" w:hAnsi="仿宋" w:cs="仿宋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w w:val="100"/>
          <w:sz w:val="32"/>
          <w:szCs w:val="32"/>
        </w:rPr>
        <w:t>年</w:t>
      </w:r>
      <w:r>
        <w:rPr>
          <w:rFonts w:hint="eastAsia" w:ascii="仿宋_GB2312" w:hAnsi="仿宋" w:cs="仿宋"/>
          <w:w w:val="100"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 w:cs="仿宋"/>
          <w:w w:val="100"/>
          <w:sz w:val="32"/>
          <w:szCs w:val="32"/>
        </w:rPr>
        <w:t>月</w:t>
      </w:r>
      <w:r>
        <w:rPr>
          <w:rFonts w:hint="eastAsia" w:ascii="仿宋_GB2312" w:hAnsi="仿宋" w:cs="仿宋"/>
          <w:w w:val="100"/>
          <w:sz w:val="32"/>
          <w:szCs w:val="32"/>
          <w:lang w:val="en-US" w:eastAsia="zh-CN"/>
        </w:rPr>
        <w:t>X日</w:t>
      </w:r>
    </w:p>
    <w:p>
      <w:bookmarkStart w:id="0" w:name="_GoBack"/>
      <w:bookmarkEnd w:id="0"/>
    </w:p>
    <w:sectPr>
      <w:pgSz w:w="11906" w:h="16838"/>
      <w:pgMar w:top="2098" w:right="1474" w:bottom="1417" w:left="1587" w:header="1134" w:footer="992" w:gutter="0"/>
      <w:cols w:space="0" w:num="1"/>
      <w:docGrid w:type="lines" w:linePitch="6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DkxNzFiOTU2NmI1NjZlMjMwNGFkOWJlZGMxZDYifQ=="/>
  </w:docVars>
  <w:rsids>
    <w:rsidRoot w:val="7DEC649E"/>
    <w:rsid w:val="7DE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楷体_GB2312" w:asciiTheme="minorHAnsi" w:hAnsiTheme="minorHAnsi"/>
      <w:w w:val="115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sz w:val="24"/>
      <w:szCs w:val="3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beforeAutospacing="0" w:afterAutospacing="0" w:line="0" w:lineRule="atLeast"/>
    </w:pPr>
    <w:rPr>
      <w:szCs w:val="20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4"/>
    <w:unhideWhenUsed/>
    <w:qFormat/>
    <w:uiPriority w:val="0"/>
    <w:pPr>
      <w:ind w:firstLine="420" w:firstLineChars="1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2023-07-03T08:08:00Z</dcterms:created>
  <dc:creator>陈丹妮</dc:creator>
  <cp:lastModifiedBy>陈丹妮</cp:lastModifiedBy>
  <dcterms:modified xsi:type="dcterms:W3CDTF">2023-07-03T08:08:31Z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832E9B3B5936423BB09E5AA0E978019B_11</vt:lpwstr>
  </property>
</Properties>
</file>