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b/>
          <w:color w:val="000000"/>
          <w:sz w:val="30"/>
          <w:szCs w:val="30"/>
        </w:rPr>
      </w:pPr>
      <w:r>
        <w:rPr>
          <w:rFonts w:ascii="宋体" w:hAnsi="宋体"/>
          <w:b/>
          <w:color w:val="000000"/>
          <w:spacing w:val="-34"/>
          <w:w w:val="90"/>
          <w:sz w:val="44"/>
          <w:szCs w:val="44"/>
        </w:rPr>
        <w:t>2018</w:t>
      </w:r>
      <w:r>
        <w:rPr>
          <w:rFonts w:hint="eastAsia" w:ascii="宋体" w:hAnsi="宋体"/>
          <w:b/>
          <w:color w:val="000000"/>
          <w:spacing w:val="-34"/>
          <w:w w:val="90"/>
          <w:sz w:val="44"/>
          <w:szCs w:val="44"/>
        </w:rPr>
        <w:t>年</w:t>
      </w:r>
      <w:r>
        <w:rPr>
          <w:rFonts w:hint="eastAsia" w:ascii="宋体" w:hAnsi="宋体"/>
          <w:b/>
          <w:color w:val="000000"/>
          <w:spacing w:val="-34"/>
          <w:w w:val="90"/>
          <w:sz w:val="44"/>
          <w:szCs w:val="44"/>
          <w:lang w:eastAsia="zh-CN"/>
        </w:rPr>
        <w:t>市</w:t>
      </w:r>
      <w:r>
        <w:rPr>
          <w:rFonts w:hint="eastAsia" w:ascii="宋体" w:hAnsi="宋体"/>
          <w:b/>
          <w:bCs/>
          <w:color w:val="000000"/>
          <w:spacing w:val="-34"/>
          <w:w w:val="90"/>
          <w:sz w:val="44"/>
          <w:szCs w:val="44"/>
        </w:rPr>
        <w:t>财政支持社会组织参与社会服务项目</w:t>
      </w:r>
      <w:r>
        <w:rPr>
          <w:rFonts w:hint="eastAsia" w:ascii="宋体" w:hAnsi="宋体"/>
          <w:b/>
          <w:color w:val="000000"/>
          <w:spacing w:val="-34"/>
          <w:w w:val="90"/>
          <w:sz w:val="44"/>
          <w:szCs w:val="44"/>
        </w:rPr>
        <w:t>明白卡</w:t>
      </w:r>
    </w:p>
    <w:tbl>
      <w:tblPr>
        <w:tblStyle w:val="3"/>
        <w:tblW w:w="9073" w:type="dxa"/>
        <w:tblInd w:w="-176" w:type="dxa"/>
        <w:tblLayout w:type="fixed"/>
        <w:tblCellMar>
          <w:top w:w="0" w:type="dxa"/>
          <w:left w:w="108" w:type="dxa"/>
          <w:bottom w:w="0" w:type="dxa"/>
          <w:right w:w="108" w:type="dxa"/>
        </w:tblCellMar>
      </w:tblPr>
      <w:tblGrid>
        <w:gridCol w:w="686"/>
        <w:gridCol w:w="874"/>
        <w:gridCol w:w="1559"/>
        <w:gridCol w:w="1701"/>
        <w:gridCol w:w="1134"/>
        <w:gridCol w:w="810"/>
        <w:gridCol w:w="1600"/>
        <w:gridCol w:w="709"/>
      </w:tblGrid>
      <w:tr>
        <w:tblPrEx>
          <w:tblLayout w:type="fixed"/>
          <w:tblCellMar>
            <w:top w:w="0" w:type="dxa"/>
            <w:left w:w="108" w:type="dxa"/>
            <w:bottom w:w="0" w:type="dxa"/>
            <w:right w:w="108" w:type="dxa"/>
          </w:tblCellMar>
        </w:tblPrEx>
        <w:trPr>
          <w:trHeight w:val="1082" w:hRule="atLeast"/>
        </w:trPr>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rPr>
            </w:pPr>
            <w:r>
              <w:rPr>
                <w:rFonts w:hint="eastAsia"/>
                <w:b/>
                <w:bCs/>
              </w:rPr>
              <w:t>项目</w:t>
            </w:r>
            <w:r>
              <w:rPr>
                <w:rFonts w:hint="eastAsia"/>
                <w:b/>
                <w:bCs/>
              </w:rPr>
              <w:br w:type="textWrapping"/>
            </w:r>
            <w:r>
              <w:rPr>
                <w:rFonts w:hint="eastAsia"/>
                <w:b/>
                <w:bCs/>
              </w:rPr>
              <w:t>编号</w:t>
            </w:r>
          </w:p>
        </w:tc>
        <w:tc>
          <w:tcPr>
            <w:tcW w:w="2433" w:type="dxa"/>
            <w:gridSpan w:val="2"/>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rPr>
              <w:t>项目名称</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rPr>
              <w:t>项目单位</w:t>
            </w:r>
          </w:p>
        </w:tc>
        <w:tc>
          <w:tcPr>
            <w:tcW w:w="1944" w:type="dxa"/>
            <w:gridSpan w:val="2"/>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lang w:eastAsia="zh-CN"/>
              </w:rPr>
              <w:t>市</w:t>
            </w:r>
            <w:r>
              <w:rPr>
                <w:rFonts w:hint="eastAsia"/>
                <w:b/>
                <w:bCs/>
              </w:rPr>
              <w:t>财政资金（万元）</w:t>
            </w:r>
          </w:p>
          <w:p>
            <w:pPr>
              <w:jc w:val="center"/>
              <w:rPr>
                <w:rFonts w:hint="eastAsia"/>
                <w:b/>
                <w:bCs/>
              </w:rPr>
            </w:pPr>
          </w:p>
        </w:tc>
        <w:tc>
          <w:tcPr>
            <w:tcW w:w="1600" w:type="dxa"/>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rPr>
              <w:t>配套资金（万元）</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rPr>
              <w:t>项目资金合计（万元）</w:t>
            </w:r>
          </w:p>
        </w:tc>
      </w:tr>
      <w:tr>
        <w:tblPrEx>
          <w:tblLayout w:type="fixed"/>
          <w:tblCellMar>
            <w:top w:w="0" w:type="dxa"/>
            <w:left w:w="108" w:type="dxa"/>
            <w:bottom w:w="0" w:type="dxa"/>
            <w:right w:w="108" w:type="dxa"/>
          </w:tblCellMar>
        </w:tblPrEx>
        <w:trPr>
          <w:trHeight w:val="555" w:hRule="atLeast"/>
        </w:trPr>
        <w:tc>
          <w:tcPr>
            <w:tcW w:w="686"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433"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944"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60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737" w:hRule="atLeast"/>
        </w:trPr>
        <w:tc>
          <w:tcPr>
            <w:tcW w:w="68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项目运行及管理情况</w:t>
            </w:r>
          </w:p>
        </w:tc>
        <w:tc>
          <w:tcPr>
            <w:tcW w:w="874"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实施进度</w:t>
            </w: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预算进度（计划完成项目的情况）</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招投标情况</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合同数量和金额（万元）</w:t>
            </w:r>
          </w:p>
        </w:tc>
        <w:tc>
          <w:tcPr>
            <w:tcW w:w="3119" w:type="dxa"/>
            <w:gridSpan w:val="3"/>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备注</w:t>
            </w:r>
          </w:p>
        </w:tc>
      </w:tr>
      <w:tr>
        <w:tblPrEx>
          <w:tblLayout w:type="fixed"/>
          <w:tblCellMar>
            <w:top w:w="0" w:type="dxa"/>
            <w:left w:w="108" w:type="dxa"/>
            <w:bottom w:w="0" w:type="dxa"/>
            <w:right w:w="108" w:type="dxa"/>
          </w:tblCellMar>
        </w:tblPrEx>
        <w:trPr>
          <w:trHeight w:val="447"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119" w:type="dxa"/>
            <w:gridSpan w:val="3"/>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737"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restart"/>
            <w:tcBorders>
              <w:top w:val="nil"/>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重大事项或重要情况</w:t>
            </w: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内部研究程序名称（如理事会、办公会等）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具体情况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资金支付进度 </w:t>
            </w:r>
          </w:p>
        </w:tc>
        <w:tc>
          <w:tcPr>
            <w:tcW w:w="2410" w:type="dxa"/>
            <w:gridSpan w:val="2"/>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累计支付金额（万元）</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完成比例</w:t>
            </w:r>
          </w:p>
        </w:tc>
      </w:tr>
      <w:tr>
        <w:tblPrEx>
          <w:tblLayout w:type="fixed"/>
          <w:tblCellMar>
            <w:top w:w="0" w:type="dxa"/>
            <w:left w:w="108" w:type="dxa"/>
            <w:bottom w:w="0" w:type="dxa"/>
            <w:right w:w="108" w:type="dxa"/>
          </w:tblCellMar>
        </w:tblPrEx>
        <w:trPr>
          <w:trHeight w:val="439"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459"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Layout w:type="fixed"/>
          <w:tblCellMar>
            <w:top w:w="0" w:type="dxa"/>
            <w:left w:w="108" w:type="dxa"/>
            <w:bottom w:w="0" w:type="dxa"/>
            <w:right w:w="108" w:type="dxa"/>
          </w:tblCellMar>
        </w:tblPrEx>
        <w:trPr>
          <w:trHeight w:val="452"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737" w:hRule="atLeast"/>
        </w:trPr>
        <w:tc>
          <w:tcPr>
            <w:tcW w:w="68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管理部门监督指导和管理情况</w:t>
            </w:r>
          </w:p>
        </w:tc>
        <w:tc>
          <w:tcPr>
            <w:tcW w:w="87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管理部门名称</w:t>
            </w: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现场指导时间</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指导监督工作内容</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指导人员姓名</w:t>
            </w: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指导人员联系方式</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备注</w:t>
            </w:r>
          </w:p>
        </w:tc>
      </w:tr>
      <w:tr>
        <w:tblPrEx>
          <w:tblLayout w:type="fixed"/>
          <w:tblCellMar>
            <w:top w:w="0" w:type="dxa"/>
            <w:left w:w="108" w:type="dxa"/>
            <w:bottom w:w="0" w:type="dxa"/>
            <w:right w:w="108" w:type="dxa"/>
          </w:tblCellMar>
        </w:tblPrEx>
        <w:trPr>
          <w:trHeight w:val="737"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737"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会计事务所指导审计情况</w:t>
            </w:r>
          </w:p>
        </w:tc>
        <w:tc>
          <w:tcPr>
            <w:tcW w:w="87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工作内容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时间</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工作方式（现场、网络、电话）</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会计师姓名</w:t>
            </w:r>
          </w:p>
        </w:tc>
        <w:tc>
          <w:tcPr>
            <w:tcW w:w="311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备注　</w:t>
            </w:r>
          </w:p>
        </w:tc>
      </w:tr>
      <w:tr>
        <w:tblPrEx>
          <w:tblLayout w:type="fixed"/>
          <w:tblCellMar>
            <w:top w:w="0" w:type="dxa"/>
            <w:left w:w="108" w:type="dxa"/>
            <w:bottom w:w="0" w:type="dxa"/>
            <w:right w:w="108" w:type="dxa"/>
          </w:tblCellMar>
        </w:tblPrEx>
        <w:trPr>
          <w:trHeight w:val="510"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工作指导　</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11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510"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临时咨询解答</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311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r>
    </w:tbl>
    <w:p>
      <w:pPr>
        <w:widowControl/>
        <w:spacing w:line="520" w:lineRule="exact"/>
        <w:jc w:val="center"/>
        <w:rPr>
          <w:rFonts w:hint="eastAsia"/>
          <w:b/>
          <w:color w:val="000000"/>
          <w:sz w:val="30"/>
          <w:szCs w:val="30"/>
        </w:rPr>
      </w:pPr>
    </w:p>
    <w:p>
      <w:pPr>
        <w:widowControl/>
        <w:spacing w:line="520" w:lineRule="exact"/>
        <w:jc w:val="center"/>
        <w:rPr>
          <w:rFonts w:hint="eastAsia"/>
          <w:b/>
          <w:color w:val="000000"/>
          <w:sz w:val="32"/>
          <w:szCs w:val="32"/>
        </w:rPr>
      </w:pPr>
    </w:p>
    <w:p>
      <w:pPr>
        <w:widowControl/>
        <w:spacing w:line="520" w:lineRule="exact"/>
        <w:jc w:val="center"/>
        <w:rPr>
          <w:rFonts w:hint="eastAsia"/>
          <w:b/>
          <w:color w:val="000000"/>
          <w:sz w:val="32"/>
          <w:szCs w:val="32"/>
        </w:rPr>
      </w:pPr>
    </w:p>
    <w:p>
      <w:pPr>
        <w:widowControl/>
        <w:spacing w:line="520" w:lineRule="exact"/>
        <w:jc w:val="center"/>
        <w:rPr>
          <w:rFonts w:hint="eastAsia"/>
          <w:b/>
          <w:color w:val="000000"/>
          <w:sz w:val="32"/>
          <w:szCs w:val="32"/>
        </w:rPr>
      </w:pPr>
    </w:p>
    <w:p>
      <w:pPr>
        <w:widowControl/>
        <w:spacing w:line="520" w:lineRule="exact"/>
        <w:jc w:val="center"/>
        <w:rPr>
          <w:rFonts w:hint="eastAsia"/>
          <w:b/>
          <w:color w:val="000000"/>
          <w:sz w:val="36"/>
          <w:szCs w:val="36"/>
        </w:rPr>
      </w:pPr>
      <w:r>
        <w:rPr>
          <w:rFonts w:hint="eastAsia"/>
          <w:b/>
          <w:color w:val="000000"/>
          <w:sz w:val="36"/>
          <w:szCs w:val="36"/>
        </w:rPr>
        <w:t>明白卡填卡说明</w:t>
      </w:r>
    </w:p>
    <w:p>
      <w:pPr>
        <w:widowControl/>
        <w:spacing w:line="520" w:lineRule="exact"/>
        <w:jc w:val="center"/>
        <w:rPr>
          <w:b/>
          <w:color w:val="000000"/>
          <w:sz w:val="30"/>
          <w:szCs w:val="30"/>
        </w:rPr>
      </w:pP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一、总体要求</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1.为了全面反映项目实施情况和管理情况，各立项单位均需按要求填报此卡，如一张不够，可如实继续填写。</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2.此卡作为项目档案的重要资料进行归档，供管理和审计部门监督审计时查阅。</w:t>
      </w: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二、项目基本情况部分</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1.按照项目申报书和批复的预算进行填报。</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eastAsia="zh-CN"/>
        </w:rPr>
        <w:t>市</w:t>
      </w:r>
      <w:r>
        <w:rPr>
          <w:rFonts w:hint="eastAsia" w:ascii="仿宋_GB2312" w:eastAsia="仿宋_GB2312"/>
          <w:color w:val="000000"/>
          <w:sz w:val="28"/>
          <w:szCs w:val="28"/>
        </w:rPr>
        <w:t>财政资金、配套资金和项目资金合计均填列预算数，以人民币万元为单位。其中配套资金填列预算自有资金、社会募集资金和其他财政资金（含福彩资金）的合计数。</w:t>
      </w: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三、立项单位需要注意事宜</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1.立项单位应制定项目完成计划并按步骤有序组织实施。</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2.立项单位要成立实施项目的相关机构，专门负责项目实施。</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3.立项单位要熟悉了解项目的《实施方案》规定，确保项目运作规范。</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4.使用财政资金向单一供应商累计采购金额达到规定要求的必须进行招投标；采购金额未达到招投标要求的应有询价程序，同时保管询价资料和招投标资料备查。</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5.合同数量和金额：购买服务或物资应签订合同，应统计项目实施中的合同数量及金额。</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6.立项单位有重大事项或重要情况，需要有内部研究程序决定；涉及大额采购的需要履行相关程序。重大事项是指大额采购、大额支出、受益对象的确定、大额捐赠等。</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7.要加强与会计师事务所沟通，对不好把握的问题，应及时向会计师事务所咨询，避免因主观臆断给工作带来被动。</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8.立项单位应当于2018年12月31日前完成项目全部资金和社会服务活动的执行。</w:t>
      </w: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四、管理部门需要注意事宜</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登记管理部门要积极履行监管职责，对于属地内的立项单位每年至少应主动上门监督指导2次。包括对项目实施情况进行调查了解，帮助解决实际问题，对资金使用情况进行检查监督，发现问题及时纠正。</w:t>
      </w: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五、审计事务所需要注意事宜</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1.要认真完成相关工作指导等工作。</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pacing w:val="-6"/>
          <w:sz w:val="28"/>
          <w:szCs w:val="28"/>
        </w:rPr>
        <w:t>要积极与对口立项单位保持联系沟通，及时发现问题，帮助立项单位更正，避免因立项单位没经验、理解不到位导致项目执行有误等情况发生。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57FBE"/>
    <w:rsid w:val="45E57F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2018-06-15T09:47:00Z</dcterms:created>
  <dc:creator>mgc</dc:creator>
  <cp:lastModifiedBy>mgc</cp:lastModifiedBy>
  <dcterms:modified xsi:type="dcterms:W3CDTF">2018-06-15T09:47:22Z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