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ECFDD"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Fonts w:ascii="华文中宋" w:eastAsia="华文中宋" w:cs="宋体"/>
          <w:b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年度福州市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  <w:lang w:val="en-US" w:eastAsia="zh-CN"/>
        </w:rPr>
        <w:t>永泰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生态环境执法“双随机、一公开”抽查工作计划</w:t>
      </w:r>
    </w:p>
    <w:bookmarkEnd w:id="0"/>
    <w:tbl>
      <w:tblPr>
        <w:tblStyle w:val="4"/>
        <w:tblW w:w="133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393"/>
        <w:gridCol w:w="2588"/>
        <w:gridCol w:w="2189"/>
        <w:gridCol w:w="2588"/>
        <w:gridCol w:w="1393"/>
        <w:gridCol w:w="2191"/>
      </w:tblGrid>
      <w:tr w14:paraId="3C79D0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5" w:type="dxa"/>
            <w:vAlign w:val="center"/>
          </w:tcPr>
          <w:p w14:paraId="58FC69F6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393" w:type="dxa"/>
            <w:vAlign w:val="center"/>
          </w:tcPr>
          <w:p w14:paraId="32D2D2C4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任务名称</w:t>
            </w:r>
          </w:p>
        </w:tc>
        <w:tc>
          <w:tcPr>
            <w:tcW w:w="2588" w:type="dxa"/>
            <w:vAlign w:val="center"/>
          </w:tcPr>
          <w:p w14:paraId="4188C9E6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检查对象</w:t>
            </w:r>
          </w:p>
        </w:tc>
        <w:tc>
          <w:tcPr>
            <w:tcW w:w="2189" w:type="dxa"/>
            <w:vAlign w:val="center"/>
          </w:tcPr>
          <w:p w14:paraId="50148A49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检查比例</w:t>
            </w:r>
          </w:p>
        </w:tc>
        <w:tc>
          <w:tcPr>
            <w:tcW w:w="2588" w:type="dxa"/>
            <w:vAlign w:val="center"/>
          </w:tcPr>
          <w:p w14:paraId="1CF5FDEA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检查频次</w:t>
            </w:r>
          </w:p>
        </w:tc>
        <w:tc>
          <w:tcPr>
            <w:tcW w:w="1393" w:type="dxa"/>
            <w:vAlign w:val="center"/>
          </w:tcPr>
          <w:p w14:paraId="4D75010B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检查方式</w:t>
            </w:r>
          </w:p>
        </w:tc>
        <w:tc>
          <w:tcPr>
            <w:tcW w:w="2191" w:type="dxa"/>
            <w:vAlign w:val="center"/>
          </w:tcPr>
          <w:p w14:paraId="39DAC53C">
            <w:pPr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检查时限</w:t>
            </w:r>
          </w:p>
        </w:tc>
      </w:tr>
      <w:tr w14:paraId="488682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995" w:type="dxa"/>
            <w:vAlign w:val="center"/>
          </w:tcPr>
          <w:p w14:paraId="5AE52E37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3" w:type="dxa"/>
            <w:vAlign w:val="center"/>
          </w:tcPr>
          <w:p w14:paraId="38DB5D91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污染源日常环境监管随机抽查</w:t>
            </w:r>
          </w:p>
        </w:tc>
        <w:tc>
          <w:tcPr>
            <w:tcW w:w="2588" w:type="dxa"/>
            <w:vAlign w:val="center"/>
          </w:tcPr>
          <w:p w14:paraId="7D881CD7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企业事业单位和其他生产经营者</w:t>
            </w:r>
          </w:p>
        </w:tc>
        <w:tc>
          <w:tcPr>
            <w:tcW w:w="2189" w:type="dxa"/>
            <w:vAlign w:val="center"/>
          </w:tcPr>
          <w:p w14:paraId="225F4B03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1.重点监管对象：每季度抽查比例不低于25%。</w:t>
            </w:r>
          </w:p>
          <w:p w14:paraId="0EA6E610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2.特殊监管对象：每年抽查比例不低于100%。</w:t>
            </w:r>
          </w:p>
          <w:p w14:paraId="17A7EED6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3.一般监管对象：每年抽查比例不低于1：5（在编在岗执法人员数除以抽查对象数）。</w:t>
            </w:r>
          </w:p>
        </w:tc>
        <w:tc>
          <w:tcPr>
            <w:tcW w:w="2588" w:type="dxa"/>
            <w:vAlign w:val="center"/>
          </w:tcPr>
          <w:p w14:paraId="1093FBBF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1.重点监管对象：一般每年全覆盖检查1次。</w:t>
            </w:r>
          </w:p>
          <w:p w14:paraId="5E139F74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特殊监管对象：一般每年全覆盖检查不少于1次；存在生态环境违法问题、群众普遍反映强烈、社会关注度高、信用评价等级低、有特殊管理需要以及污染防治技术不能稳定达到排污许可证规定的，每半年全覆盖检查不少于1次。</w:t>
            </w:r>
          </w:p>
        </w:tc>
        <w:tc>
          <w:tcPr>
            <w:tcW w:w="1393" w:type="dxa"/>
            <w:vAlign w:val="center"/>
          </w:tcPr>
          <w:p w14:paraId="5659A1B5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现场检查、非现场检查</w:t>
            </w:r>
          </w:p>
        </w:tc>
        <w:tc>
          <w:tcPr>
            <w:tcW w:w="2191" w:type="dxa"/>
            <w:vAlign w:val="center"/>
          </w:tcPr>
          <w:p w14:paraId="1293DC9C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年底前</w:t>
            </w:r>
          </w:p>
        </w:tc>
      </w:tr>
      <w:tr w14:paraId="24265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995" w:type="dxa"/>
            <w:vAlign w:val="center"/>
          </w:tcPr>
          <w:p w14:paraId="456124B9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3" w:type="dxa"/>
            <w:vAlign w:val="center"/>
          </w:tcPr>
          <w:p w14:paraId="283C1089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对建设项目在建设过程中环境影响评价制度及 “三同时”制度执行情况、建设项目环评文件及批复要求落实情况等的监督检查</w:t>
            </w:r>
          </w:p>
        </w:tc>
        <w:tc>
          <w:tcPr>
            <w:tcW w:w="2588" w:type="dxa"/>
            <w:vAlign w:val="center"/>
          </w:tcPr>
          <w:p w14:paraId="7166BD65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建设产生环境污染项目的单位</w:t>
            </w:r>
          </w:p>
        </w:tc>
        <w:tc>
          <w:tcPr>
            <w:tcW w:w="2189" w:type="dxa"/>
            <w:vAlign w:val="center"/>
          </w:tcPr>
          <w:p w14:paraId="6F76A706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1.重点监管对象：每季度抽查比例不低于25%。</w:t>
            </w:r>
          </w:p>
          <w:p w14:paraId="2D763C0E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2.特殊监管对象：每年抽查比例不低于100%。</w:t>
            </w:r>
          </w:p>
          <w:p w14:paraId="13C09979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3.一般监管对象：每年抽查比例不低于1：5（在编在岗执法人员数除以抽查对象数）。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2588" w:type="dxa"/>
            <w:vAlign w:val="center"/>
          </w:tcPr>
          <w:p w14:paraId="7B0FA2D1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1.重点监管对象：一般每年全覆盖检查1次。</w:t>
            </w:r>
          </w:p>
          <w:p w14:paraId="4EB29D5E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特殊监管对象：一般每年全覆盖检查不少于1次；存在生态环境违法问题、群众普遍反映强烈、社会关注度高、信用评价等级低、有特殊管理需要以及污染防治技术不能稳定达到排污许可证规定的，每半年全覆盖检查不少于1次。</w:t>
            </w:r>
          </w:p>
        </w:tc>
        <w:tc>
          <w:tcPr>
            <w:tcW w:w="1393" w:type="dxa"/>
            <w:vAlign w:val="center"/>
          </w:tcPr>
          <w:p w14:paraId="3C51202A">
            <w:pPr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现场检查、非现场检查</w:t>
            </w:r>
          </w:p>
        </w:tc>
        <w:tc>
          <w:tcPr>
            <w:tcW w:w="2191" w:type="dxa"/>
            <w:vAlign w:val="center"/>
          </w:tcPr>
          <w:p w14:paraId="2A62386A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19FBE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BA73AE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3ACB719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BF27F5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年底前</w:t>
            </w:r>
          </w:p>
        </w:tc>
      </w:tr>
      <w:tr w14:paraId="39B12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  <w:jc w:val="center"/>
        </w:trPr>
        <w:tc>
          <w:tcPr>
            <w:tcW w:w="995" w:type="dxa"/>
            <w:vAlign w:val="center"/>
          </w:tcPr>
          <w:p w14:paraId="6ADF57CB"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3" w:type="dxa"/>
            <w:vAlign w:val="center"/>
          </w:tcPr>
          <w:p w14:paraId="0EE033A8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水电站下泄流量执法检查</w:t>
            </w:r>
          </w:p>
        </w:tc>
        <w:tc>
          <w:tcPr>
            <w:tcW w:w="2588" w:type="dxa"/>
            <w:vAlign w:val="center"/>
          </w:tcPr>
          <w:p w14:paraId="4DBB5754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联网福建省生态流量监控考核系统平台的水电站</w:t>
            </w:r>
          </w:p>
        </w:tc>
        <w:tc>
          <w:tcPr>
            <w:tcW w:w="2189" w:type="dxa"/>
            <w:vAlign w:val="center"/>
          </w:tcPr>
          <w:p w14:paraId="6012565B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一般监管对象每季度按照水电站总数的10%随机抽取</w:t>
            </w:r>
          </w:p>
        </w:tc>
        <w:tc>
          <w:tcPr>
            <w:tcW w:w="2588" w:type="dxa"/>
            <w:vAlign w:val="center"/>
          </w:tcPr>
          <w:p w14:paraId="533D90DA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1.重点监管对象：一般每年全覆盖检查1次。</w:t>
            </w:r>
          </w:p>
          <w:p w14:paraId="1CE5C517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2.特殊监管对象：一般每年全覆盖检查不少于1次；存在生态环境违法问题、群众普遍反映强烈、社会关注度高、信用评价等级低、有特殊管理需要的，每半年全覆盖检查不少于1次。</w:t>
            </w:r>
          </w:p>
        </w:tc>
        <w:tc>
          <w:tcPr>
            <w:tcW w:w="1393" w:type="dxa"/>
            <w:vAlign w:val="center"/>
          </w:tcPr>
          <w:p w14:paraId="4924E3DE">
            <w:pPr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现场检查、非现场检查</w:t>
            </w:r>
          </w:p>
        </w:tc>
        <w:tc>
          <w:tcPr>
            <w:tcW w:w="2191" w:type="dxa"/>
            <w:vAlign w:val="center"/>
          </w:tcPr>
          <w:p w14:paraId="1BF22B63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年底前</w:t>
            </w:r>
          </w:p>
        </w:tc>
      </w:tr>
      <w:tr w14:paraId="68A17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995" w:type="dxa"/>
            <w:vAlign w:val="center"/>
          </w:tcPr>
          <w:p w14:paraId="2EBA7BA0"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3" w:type="dxa"/>
            <w:vAlign w:val="center"/>
          </w:tcPr>
          <w:p w14:paraId="3D390704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对辐射安全管理情况的监督检查</w:t>
            </w:r>
          </w:p>
        </w:tc>
        <w:tc>
          <w:tcPr>
            <w:tcW w:w="2588" w:type="dxa"/>
            <w:vAlign w:val="center"/>
          </w:tcPr>
          <w:p w14:paraId="6BF17873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Cs w:val="21"/>
              </w:rPr>
              <w:t>核技术利用单位</w:t>
            </w:r>
          </w:p>
        </w:tc>
        <w:tc>
          <w:tcPr>
            <w:tcW w:w="2189" w:type="dxa"/>
            <w:vAlign w:val="center"/>
          </w:tcPr>
          <w:p w14:paraId="539F1231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1.重点监管对象：每季度抽查比例不低于25%。</w:t>
            </w:r>
          </w:p>
          <w:p w14:paraId="628663CA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2.特殊监管对象：每年抽查比例100%。</w:t>
            </w:r>
          </w:p>
          <w:p w14:paraId="54E5BAD5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3.一般监管对象：每年抽查比例不低于核技术利用单位总数的25%。</w:t>
            </w:r>
          </w:p>
        </w:tc>
        <w:tc>
          <w:tcPr>
            <w:tcW w:w="2588" w:type="dxa"/>
            <w:vAlign w:val="center"/>
          </w:tcPr>
          <w:p w14:paraId="2AF92058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1.重点监管对象：一般每年全覆盖检查1次。</w:t>
            </w:r>
          </w:p>
          <w:p w14:paraId="6C2D4D34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2.特殊监管对象：一般每年全覆盖检查不少于1次；存在生态环境违法问题、群众普遍反映强烈、社会关注度高、信用评价等级低、有特殊管理需要以及不满足辐射安全管理规定的，每半年全覆盖检查不少于1次。</w:t>
            </w:r>
          </w:p>
        </w:tc>
        <w:tc>
          <w:tcPr>
            <w:tcW w:w="1393" w:type="dxa"/>
            <w:vAlign w:val="center"/>
          </w:tcPr>
          <w:p w14:paraId="03330460">
            <w:pPr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Cs w:val="21"/>
              </w:rPr>
              <w:t>现场检查、非现场检查</w:t>
            </w:r>
          </w:p>
        </w:tc>
        <w:tc>
          <w:tcPr>
            <w:tcW w:w="2191" w:type="dxa"/>
            <w:vAlign w:val="center"/>
          </w:tcPr>
          <w:p w14:paraId="4056EB21">
            <w:pPr>
              <w:adjustRightInd w:val="0"/>
              <w:snapToGrid w:val="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年底前</w:t>
            </w:r>
          </w:p>
        </w:tc>
      </w:tr>
      <w:tr w14:paraId="1EC20A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995" w:type="dxa"/>
            <w:vAlign w:val="center"/>
          </w:tcPr>
          <w:p w14:paraId="37A3D507">
            <w:pPr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3" w:type="dxa"/>
            <w:vAlign w:val="center"/>
          </w:tcPr>
          <w:p w14:paraId="1E8A74A8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对机动车排放检验报告质量的监督检查</w:t>
            </w:r>
          </w:p>
        </w:tc>
        <w:tc>
          <w:tcPr>
            <w:tcW w:w="2588" w:type="dxa"/>
            <w:vAlign w:val="center"/>
          </w:tcPr>
          <w:p w14:paraId="554C846A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机动车排放检验机构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5321A53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重点监管对象:每季度抽查比例不低于25%。</w:t>
            </w:r>
          </w:p>
          <w:p w14:paraId="28CD0CCF"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2.特殊监管对象:每年抽查比例100%。</w:t>
            </w:r>
          </w:p>
          <w:p w14:paraId="58E48C5D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3.一般监管对象:每年抽查 比必国不低书动车排检验机构总数的25%。</w:t>
            </w:r>
          </w:p>
        </w:tc>
        <w:tc>
          <w:tcPr>
            <w:tcW w:w="2588" w:type="dxa"/>
            <w:vAlign w:val="center"/>
          </w:tcPr>
          <w:p w14:paraId="71859AC9"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1.重点监管对象:一般每年全覆盖检查1次。</w:t>
            </w:r>
          </w:p>
          <w:p w14:paraId="162A1FEA"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2.特殊监管对象:一般每年全覆盖检查不少于1次;存在生态环境违法问题、群众普遍反映强烈、社会关注度高、信用评价等级低、有特殊管 理需要以及污染防治技术不能稳定达到排污许可证规定的，每半年全覆盖检查不少于1次。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F285CC8">
            <w:pPr>
              <w:jc w:val="both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Cs w:val="21"/>
              </w:rPr>
              <w:t>现场检查、非现场检查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710A852">
            <w:pPr>
              <w:adjustRightInd w:val="0"/>
              <w:snapToGrid w:val="0"/>
              <w:jc w:val="both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年底前</w:t>
            </w:r>
          </w:p>
        </w:tc>
      </w:tr>
      <w:tr w14:paraId="34932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995" w:type="dxa"/>
            <w:vAlign w:val="center"/>
          </w:tcPr>
          <w:p w14:paraId="38C6FBC6">
            <w:pPr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3" w:type="dxa"/>
            <w:vAlign w:val="center"/>
          </w:tcPr>
          <w:p w14:paraId="1D6C142F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对城镇污水处理设施污染防治情况的监督检查</w:t>
            </w:r>
          </w:p>
        </w:tc>
        <w:tc>
          <w:tcPr>
            <w:tcW w:w="2588" w:type="dxa"/>
            <w:vAlign w:val="center"/>
          </w:tcPr>
          <w:p w14:paraId="48D432AC"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城镇污水处理厂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2A63348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5%</w:t>
            </w:r>
          </w:p>
        </w:tc>
        <w:tc>
          <w:tcPr>
            <w:tcW w:w="2588" w:type="dxa"/>
            <w:vAlign w:val="center"/>
          </w:tcPr>
          <w:p w14:paraId="5758687C"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840DBE5">
            <w:pPr>
              <w:jc w:val="both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Cs w:val="21"/>
              </w:rPr>
              <w:t>现场检查、非现场检查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556B649">
            <w:pPr>
              <w:adjustRightInd w:val="0"/>
              <w:snapToGrid w:val="0"/>
              <w:jc w:val="both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年底前</w:t>
            </w:r>
          </w:p>
        </w:tc>
      </w:tr>
    </w:tbl>
    <w:p w14:paraId="0FA86DB6">
      <w:pPr>
        <w:jc w:val="left"/>
        <w:rPr>
          <w:rFonts w:ascii="黑体" w:eastAsia="黑体"/>
          <w:sz w:val="32"/>
          <w:szCs w:val="32"/>
        </w:rPr>
      </w:pPr>
    </w:p>
    <w:p w14:paraId="661BE4A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13535"/>
    <w:multiLevelType w:val="singleLevel"/>
    <w:tmpl w:val="1881353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47F83"/>
    <w:rsid w:val="06947F83"/>
    <w:rsid w:val="57F05AB0"/>
    <w:rsid w:val="65052973"/>
    <w:rsid w:val="6A10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next w:val="2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1237</Words>
  <Characters>1306</Characters>
  <Lines>0</Lines>
  <Paragraphs>0</Paragraphs>
  <TotalTime>45</TotalTime>
  <ScaleCrop>false</ScaleCrop>
  <LinksUpToDate>false</LinksUpToDate>
  <CharactersWithSpaces>1309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2024-12-20T07:18:00Z</dcterms:created>
  <dc:creator>米叔</dc:creator>
  <cp:lastModifiedBy>陈樵</cp:lastModifiedBy>
  <dcterms:modified xsi:type="dcterms:W3CDTF">2025-08-13T08:51:05Z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C3E8AB37451C446B873EFEEBED6178EB_13</vt:lpwstr>
  </property>
  <property fmtid="{D5CDD505-2E9C-101B-9397-08002B2CF9AE}" pid="4" name="KSOTemplateDocerSaveRecord">
    <vt:lpwstr>eyJoZGlkIjoiYTQxOWNhNGJlZDQ3YzUxZGNlMDQ3Mjc0NTQ3ODE4NmIiLCJ1c2VySWQiOiIyODA0MDE5MTQifQ==</vt:lpwstr>
  </property>
</Properties>
</file>