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02A0A2">
      <w:pPr>
        <w:pStyle w:val="4"/>
        <w:keepNext w:val="0"/>
        <w:keepLines w:val="0"/>
        <w:pageBreakBefore w:val="0"/>
        <w:widowControl/>
        <w:kinsoku w:val="0"/>
        <w:wordWrap/>
        <w:overflowPunct/>
        <w:topLinePunct w:val="0"/>
        <w:autoSpaceDE w:val="0"/>
        <w:autoSpaceDN w:val="0"/>
        <w:bidi w:val="0"/>
        <w:adjustRightInd w:val="0"/>
        <w:snapToGrid w:val="0"/>
        <w:spacing w:before="0" w:beforeLines="50" w:line="243" w:lineRule="auto"/>
        <w:jc w:val="center"/>
        <w:textAlignment w:val="baseline"/>
        <w:rPr>
          <w:rFonts w:hint="default" w:eastAsia="宋体"/>
          <w:b/>
          <w:bCs/>
          <w:color w:val="auto"/>
          <w:sz w:val="44"/>
          <w:szCs w:val="44"/>
          <w:lang w:val="en-US" w:eastAsia="zh-CN"/>
        </w:rPr>
      </w:pPr>
      <w:r>
        <w:rPr>
          <w:rFonts w:hint="eastAsia" w:eastAsia="宋体"/>
          <w:b/>
          <w:bCs/>
          <w:color w:val="auto"/>
          <w:sz w:val="44"/>
          <w:szCs w:val="44"/>
          <w:lang w:val="en-US" w:eastAsia="zh-CN"/>
        </w:rPr>
        <w:t>永泰县农村集体经营性建设用地入市收益分配使用管理指导意见</w:t>
      </w:r>
      <w:r>
        <w:rPr>
          <w:rFonts w:hint="eastAsia" w:eastAsia="宋体"/>
          <w:b/>
          <w:bCs/>
          <w:color w:val="auto"/>
          <w:sz w:val="44"/>
          <w:szCs w:val="44"/>
          <w:lang w:val="en-US" w:eastAsia="zh-CN"/>
        </w:rPr>
        <w:br w:type="textWrapping"/>
      </w:r>
      <w:r>
        <w:rPr>
          <w:rFonts w:hint="eastAsia" w:ascii="仿宋_GB2312" w:hAnsi="仿宋_GB2312" w:eastAsia="仿宋_GB2312" w:cs="仿宋_GB2312"/>
          <w:bCs/>
          <w:snapToGrid w:val="0"/>
          <w:color w:val="auto"/>
          <w:kern w:val="0"/>
          <w:sz w:val="32"/>
          <w:szCs w:val="32"/>
          <w:highlight w:val="none"/>
          <w:lang w:val="en-US" w:eastAsia="zh-CN" w:bidi="ar-SA"/>
        </w:rPr>
        <w:t>（征求意见稿）</w:t>
      </w:r>
    </w:p>
    <w:p w14:paraId="5D5B670C">
      <w:pPr>
        <w:spacing w:before="104" w:line="222" w:lineRule="auto"/>
        <w:ind w:left="3460"/>
        <w:rPr>
          <w:rFonts w:ascii="黑体" w:hAnsi="黑体" w:eastAsia="黑体" w:cs="黑体"/>
          <w:spacing w:val="30"/>
          <w:sz w:val="32"/>
          <w:szCs w:val="32"/>
        </w:rPr>
      </w:pPr>
    </w:p>
    <w:p w14:paraId="0120CE20">
      <w:pPr>
        <w:keepNext w:val="0"/>
        <w:keepLines w:val="0"/>
        <w:pageBreakBefore w:val="0"/>
        <w:widowControl/>
        <w:kinsoku w:val="0"/>
        <w:wordWrap/>
        <w:overflowPunct/>
        <w:topLinePunct w:val="0"/>
        <w:autoSpaceDE w:val="0"/>
        <w:autoSpaceDN w:val="0"/>
        <w:bidi w:val="0"/>
        <w:adjustRightInd w:val="0"/>
        <w:snapToGrid w:val="0"/>
        <w:spacing w:before="104" w:line="600" w:lineRule="exact"/>
        <w:jc w:val="center"/>
        <w:textAlignment w:val="baseline"/>
        <w:rPr>
          <w:color w:val="auto"/>
        </w:rPr>
      </w:pPr>
      <w:r>
        <w:rPr>
          <w:rFonts w:ascii="黑体" w:hAnsi="黑体" w:eastAsia="黑体" w:cs="黑体"/>
          <w:spacing w:val="30"/>
          <w:sz w:val="32"/>
          <w:szCs w:val="32"/>
        </w:rPr>
        <w:t>第一章总则</w:t>
      </w:r>
    </w:p>
    <w:p w14:paraId="67A66EA7">
      <w:pPr>
        <w:keepNext w:val="0"/>
        <w:keepLines w:val="0"/>
        <w:pageBreakBefore w:val="0"/>
        <w:widowControl/>
        <w:kinsoku w:val="0"/>
        <w:wordWrap/>
        <w:overflowPunct/>
        <w:topLinePunct w:val="0"/>
        <w:autoSpaceDE w:val="0"/>
        <w:autoSpaceDN w:val="0"/>
        <w:bidi w:val="0"/>
        <w:adjustRightInd w:val="0"/>
        <w:snapToGrid w:val="0"/>
        <w:spacing w:line="600" w:lineRule="exact"/>
        <w:ind w:right="0" w:firstLine="649"/>
        <w:jc w:val="both"/>
        <w:textAlignment w:val="baseline"/>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pPr>
      <w:r>
        <w:rPr>
          <w:rFonts w:hint="eastAsia" w:ascii="方正楷体_GB2312" w:hAnsi="方正楷体_GB2312" w:eastAsia="方正楷体_GB2312" w:cs="方正楷体_GB2312"/>
          <w:b/>
          <w:bCs w:val="0"/>
          <w:color w:val="000000" w:themeColor="text1"/>
          <w:sz w:val="32"/>
          <w:szCs w:val="32"/>
          <w:highlight w:val="none"/>
          <w:lang w:val="en-US" w:eastAsia="zh-CN"/>
          <w14:textFill>
            <w14:solidFill>
              <w14:schemeClr w14:val="tx1"/>
            </w14:solidFill>
          </w14:textFill>
        </w:rPr>
        <w:t>第一条</w:t>
      </w:r>
      <w:r>
        <w:rPr>
          <w:rFonts w:hint="eastAsia" w:ascii="仿宋_GB2312" w:hAnsi="仿宋_GB2312" w:eastAsia="仿宋_GB2312" w:cs="仿宋_GB2312"/>
          <w:b/>
          <w:bCs w:val="0"/>
          <w:color w:val="000000" w:themeColor="text1"/>
          <w:sz w:val="32"/>
          <w:szCs w:val="32"/>
          <w:highlight w:val="none"/>
          <w:lang w:val="en-US" w:eastAsia="zh-CN"/>
          <w14:textFill>
            <w14:solidFill>
              <w14:schemeClr w14:val="tx1"/>
            </w14:solidFill>
          </w14:textFill>
        </w:rPr>
        <w:t xml:space="preserve"> </w:t>
      </w:r>
      <w:r>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t>为切实加强永泰县农村集体经营性建设用地入市收益的管理和使用，规范收益分配行为，防止侵占和挪用，根据《中华人民共和国土地管理法》《中华人民共和国村民委员会组织法》《永泰县深化农村集体经营性建设用地入市试点推进工作实施方案》（樟政办〔2023〕26号）等文件精神，结合我县实际，制定本指导意见。</w:t>
      </w:r>
    </w:p>
    <w:p w14:paraId="317FB91F">
      <w:pPr>
        <w:keepNext w:val="0"/>
        <w:keepLines w:val="0"/>
        <w:pageBreakBefore w:val="0"/>
        <w:widowControl/>
        <w:kinsoku w:val="0"/>
        <w:wordWrap/>
        <w:overflowPunct/>
        <w:topLinePunct w:val="0"/>
        <w:autoSpaceDE w:val="0"/>
        <w:autoSpaceDN w:val="0"/>
        <w:bidi w:val="0"/>
        <w:adjustRightInd w:val="0"/>
        <w:snapToGrid w:val="0"/>
        <w:spacing w:line="600" w:lineRule="exact"/>
        <w:ind w:right="0" w:firstLine="649"/>
        <w:jc w:val="both"/>
        <w:textAlignment w:val="baseline"/>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pPr>
      <w:r>
        <w:rPr>
          <w:rFonts w:hint="eastAsia" w:ascii="方正楷体_GB2312" w:hAnsi="方正楷体_GB2312" w:eastAsia="方正楷体_GB2312" w:cs="方正楷体_GB2312"/>
          <w:b/>
          <w:bCs w:val="0"/>
          <w:color w:val="000000" w:themeColor="text1"/>
          <w:sz w:val="32"/>
          <w:szCs w:val="32"/>
          <w:highlight w:val="none"/>
          <w:lang w:val="en-US" w:eastAsia="zh-CN"/>
          <w14:textFill>
            <w14:solidFill>
              <w14:schemeClr w14:val="tx1"/>
            </w14:solidFill>
          </w14:textFill>
        </w:rPr>
        <w:t>第二条</w:t>
      </w:r>
      <w:r>
        <w:rPr>
          <w:rFonts w:hint="eastAsia" w:ascii="仿宋_GB2312" w:hAnsi="仿宋_GB2312" w:eastAsia="仿宋_GB2312" w:cs="仿宋_GB2312"/>
          <w:b/>
          <w:bCs w:val="0"/>
          <w:color w:val="000000" w:themeColor="text1"/>
          <w:sz w:val="32"/>
          <w:szCs w:val="32"/>
          <w:highlight w:val="none"/>
          <w:lang w:val="en-US" w:eastAsia="zh-CN"/>
          <w14:textFill>
            <w14:solidFill>
              <w14:schemeClr w14:val="tx1"/>
            </w14:solidFill>
          </w14:textFill>
        </w:rPr>
        <w:t xml:space="preserve"> </w:t>
      </w:r>
      <w:r>
        <w:rPr>
          <w:rFonts w:ascii="FangSong" w:hAnsi="FangSong" w:eastAsia="FangSong" w:cs="FangSong"/>
          <w:color w:val="000000" w:themeColor="text1"/>
          <w:spacing w:val="2"/>
          <w:sz w:val="32"/>
          <w:szCs w:val="32"/>
          <w14:textFill>
            <w14:solidFill>
              <w14:schemeClr w14:val="tx1"/>
            </w14:solidFill>
          </w14:textFill>
        </w:rPr>
        <w:t>本指导意见适用于</w:t>
      </w:r>
      <w:r>
        <w:rPr>
          <w:rFonts w:hint="eastAsia" w:ascii="FangSong" w:hAnsi="FangSong" w:eastAsia="FangSong" w:cs="FangSong"/>
          <w:color w:val="000000" w:themeColor="text1"/>
          <w:spacing w:val="5"/>
          <w:sz w:val="32"/>
          <w:szCs w:val="32"/>
          <w:lang w:eastAsia="zh-CN"/>
          <w14:textFill>
            <w14:solidFill>
              <w14:schemeClr w14:val="tx1"/>
            </w14:solidFill>
          </w14:textFill>
        </w:rPr>
        <w:t>永泰县</w:t>
      </w:r>
      <w:r>
        <w:rPr>
          <w:rFonts w:ascii="FangSong" w:hAnsi="FangSong" w:eastAsia="FangSong" w:cs="FangSong"/>
          <w:color w:val="000000" w:themeColor="text1"/>
          <w:spacing w:val="2"/>
          <w:sz w:val="32"/>
          <w:szCs w:val="32"/>
          <w14:textFill>
            <w14:solidFill>
              <w14:schemeClr w14:val="tx1"/>
            </w14:solidFill>
          </w14:textFill>
        </w:rPr>
        <w:t>行政区域内</w:t>
      </w:r>
      <w:r>
        <w:rPr>
          <w:rFonts w:ascii="FangSong" w:hAnsi="FangSong" w:eastAsia="FangSong" w:cs="FangSong"/>
          <w:color w:val="000000" w:themeColor="text1"/>
          <w:spacing w:val="-1"/>
          <w:sz w:val="32"/>
          <w:szCs w:val="32"/>
          <w14:textFill>
            <w14:solidFill>
              <w14:schemeClr w14:val="tx1"/>
            </w14:solidFill>
          </w14:textFill>
        </w:rPr>
        <w:t>农村集体经济组织的农村集体经营性建设用地入市收益</w:t>
      </w:r>
      <w:r>
        <w:rPr>
          <w:rFonts w:ascii="FangSong" w:hAnsi="FangSong" w:eastAsia="FangSong" w:cs="FangSong"/>
          <w:color w:val="000000" w:themeColor="text1"/>
          <w:spacing w:val="-12"/>
          <w:sz w:val="32"/>
          <w:szCs w:val="32"/>
          <w14:textFill>
            <w14:solidFill>
              <w14:schemeClr w14:val="tx1"/>
            </w14:solidFill>
          </w14:textFill>
        </w:rPr>
        <w:t>的管理、使用、分配。</w:t>
      </w:r>
      <w:r>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t>农村集体经营性建设用地入市收益分配、使用，应当坚持公平、公正、公开，充分按照村民自治的原则由农民集体内部协商确定。</w:t>
      </w:r>
    </w:p>
    <w:p w14:paraId="01408763">
      <w:pPr>
        <w:keepNext w:val="0"/>
        <w:keepLines w:val="0"/>
        <w:pageBreakBefore w:val="0"/>
        <w:widowControl/>
        <w:kinsoku w:val="0"/>
        <w:wordWrap/>
        <w:overflowPunct/>
        <w:topLinePunct w:val="0"/>
        <w:autoSpaceDE w:val="0"/>
        <w:autoSpaceDN w:val="0"/>
        <w:bidi w:val="0"/>
        <w:adjustRightInd w:val="0"/>
        <w:snapToGrid w:val="0"/>
        <w:spacing w:line="600" w:lineRule="exact"/>
        <w:ind w:right="0" w:firstLine="649"/>
        <w:jc w:val="both"/>
        <w:textAlignment w:val="baseline"/>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pPr>
      <w:r>
        <w:rPr>
          <w:rFonts w:hint="eastAsia" w:ascii="方正楷体_GB2312" w:hAnsi="方正楷体_GB2312" w:eastAsia="方正楷体_GB2312" w:cs="方正楷体_GB2312"/>
          <w:b/>
          <w:bCs w:val="0"/>
          <w:color w:val="000000" w:themeColor="text1"/>
          <w:sz w:val="32"/>
          <w:szCs w:val="32"/>
          <w:highlight w:val="none"/>
          <w:lang w:val="en-US" w:eastAsia="zh-CN"/>
          <w14:textFill>
            <w14:solidFill>
              <w14:schemeClr w14:val="tx1"/>
            </w14:solidFill>
          </w14:textFill>
        </w:rPr>
        <w:t>第三条</w:t>
      </w:r>
      <w:r>
        <w:rPr>
          <w:rFonts w:hint="eastAsia" w:ascii="仿宋_GB2312" w:hAnsi="仿宋_GB2312" w:eastAsia="仿宋_GB2312" w:cs="仿宋_GB2312"/>
          <w:b/>
          <w:bCs w:val="0"/>
          <w:color w:val="000000" w:themeColor="text1"/>
          <w:sz w:val="32"/>
          <w:szCs w:val="32"/>
          <w:highlight w:val="none"/>
          <w:lang w:val="en-US" w:eastAsia="zh-CN"/>
          <w14:textFill>
            <w14:solidFill>
              <w14:schemeClr w14:val="tx1"/>
            </w14:solidFill>
          </w14:textFill>
        </w:rPr>
        <w:t xml:space="preserve"> </w:t>
      </w:r>
      <w:r>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t>本</w:t>
      </w:r>
      <w:r>
        <w:rPr>
          <w:rFonts w:ascii="FangSong" w:hAnsi="FangSong" w:eastAsia="FangSong" w:cs="FangSong"/>
          <w:color w:val="000000" w:themeColor="text1"/>
          <w:spacing w:val="2"/>
          <w:sz w:val="32"/>
          <w:szCs w:val="32"/>
          <w14:textFill>
            <w14:solidFill>
              <w14:schemeClr w14:val="tx1"/>
            </w14:solidFill>
          </w14:textFill>
        </w:rPr>
        <w:t>指导</w:t>
      </w:r>
      <w:r>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t>意见所指的集体收益，是指农村集体经营性建设用地入市成交总价款，扣除土地取得成本、中介费、土地增值收益调节金和土地开发支出等费用后，农村集体经济组织获得的余下收益部分。</w:t>
      </w:r>
    </w:p>
    <w:p w14:paraId="2AB926FD">
      <w:pPr>
        <w:keepNext w:val="0"/>
        <w:keepLines w:val="0"/>
        <w:pageBreakBefore w:val="0"/>
        <w:widowControl/>
        <w:kinsoku w:val="0"/>
        <w:wordWrap/>
        <w:overflowPunct/>
        <w:topLinePunct w:val="0"/>
        <w:autoSpaceDE w:val="0"/>
        <w:autoSpaceDN w:val="0"/>
        <w:bidi w:val="0"/>
        <w:adjustRightInd w:val="0"/>
        <w:snapToGrid w:val="0"/>
        <w:spacing w:line="600" w:lineRule="exact"/>
        <w:ind w:right="0"/>
        <w:jc w:val="both"/>
        <w:textAlignment w:val="baseline"/>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t xml:space="preserve">    (一)土地取得成本，包括农村集体土地补偿费、农村房屋拆建补偿费、地上附着物补偿费、建构筑物补偿费以及统筹管理等费用。</w:t>
      </w:r>
    </w:p>
    <w:p w14:paraId="7DFABC10">
      <w:pPr>
        <w:keepNext w:val="0"/>
        <w:keepLines w:val="0"/>
        <w:pageBreakBefore w:val="0"/>
        <w:widowControl/>
        <w:kinsoku w:val="0"/>
        <w:wordWrap/>
        <w:overflowPunct/>
        <w:topLinePunct w:val="0"/>
        <w:autoSpaceDE w:val="0"/>
        <w:autoSpaceDN w:val="0"/>
        <w:bidi w:val="0"/>
        <w:adjustRightInd w:val="0"/>
        <w:snapToGrid w:val="0"/>
        <w:spacing w:line="600" w:lineRule="exact"/>
        <w:ind w:right="0" w:firstLine="649"/>
        <w:jc w:val="both"/>
        <w:textAlignment w:val="baseline"/>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t>农村集体经济组织取得土地所支付的土地补偿标准，可以参照同区域政府土地征收项目征地补偿标准执行。</w:t>
      </w:r>
    </w:p>
    <w:p w14:paraId="34ED6088">
      <w:pPr>
        <w:keepNext w:val="0"/>
        <w:keepLines w:val="0"/>
        <w:pageBreakBefore w:val="0"/>
        <w:widowControl/>
        <w:kinsoku w:val="0"/>
        <w:wordWrap/>
        <w:overflowPunct/>
        <w:topLinePunct w:val="0"/>
        <w:autoSpaceDE w:val="0"/>
        <w:autoSpaceDN w:val="0"/>
        <w:bidi w:val="0"/>
        <w:adjustRightInd w:val="0"/>
        <w:snapToGrid w:val="0"/>
        <w:spacing w:line="600" w:lineRule="exact"/>
        <w:ind w:right="0" w:firstLine="640" w:firstLineChars="200"/>
        <w:jc w:val="both"/>
        <w:textAlignment w:val="baseline"/>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t>(二)中介服务费，是指农村集体经营性建设用地入市过程中所发生的各类测绘、规划、审计、监理、咨询等社会中介服务费用 。</w:t>
      </w:r>
    </w:p>
    <w:p w14:paraId="41FCE839">
      <w:pPr>
        <w:keepNext w:val="0"/>
        <w:keepLines w:val="0"/>
        <w:pageBreakBefore w:val="0"/>
        <w:widowControl/>
        <w:kinsoku w:val="0"/>
        <w:wordWrap/>
        <w:overflowPunct/>
        <w:topLinePunct w:val="0"/>
        <w:autoSpaceDE w:val="0"/>
        <w:autoSpaceDN w:val="0"/>
        <w:bidi w:val="0"/>
        <w:adjustRightInd w:val="0"/>
        <w:snapToGrid w:val="0"/>
        <w:spacing w:line="600" w:lineRule="exact"/>
        <w:ind w:right="0" w:firstLine="649"/>
        <w:jc w:val="both"/>
        <w:textAlignment w:val="baseline"/>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t>(三)土地增值收益调节金，是指在农村集体经营性建设用地入市及再转让环节，政府对土地增值收益收取的资金。</w:t>
      </w:r>
    </w:p>
    <w:p w14:paraId="5ECE365E">
      <w:pPr>
        <w:keepNext w:val="0"/>
        <w:keepLines w:val="0"/>
        <w:pageBreakBefore w:val="0"/>
        <w:widowControl/>
        <w:kinsoku w:val="0"/>
        <w:wordWrap/>
        <w:overflowPunct/>
        <w:topLinePunct w:val="0"/>
        <w:autoSpaceDE w:val="0"/>
        <w:autoSpaceDN w:val="0"/>
        <w:bidi w:val="0"/>
        <w:adjustRightInd w:val="0"/>
        <w:snapToGrid w:val="0"/>
        <w:spacing w:line="600" w:lineRule="exact"/>
        <w:ind w:right="0" w:firstLine="649"/>
        <w:jc w:val="both"/>
        <w:textAlignment w:val="baseline"/>
        <w:rPr>
          <w:rFonts w:hint="eastAsia"/>
          <w:color w:val="000000" w:themeColor="text1"/>
          <w:lang w:val="en-US" w:eastAsia="zh-CN"/>
          <w14:textFill>
            <w14:solidFill>
              <w14:schemeClr w14:val="tx1"/>
            </w14:solidFill>
          </w14:textFill>
        </w:rPr>
      </w:pPr>
      <w:r>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t>(四)土地开发支出，包括场地平整费用和入市地块相应配套的道路、通电、通水等费用。</w:t>
      </w:r>
      <w:r>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br w:type="textWrapping"/>
      </w:r>
    </w:p>
    <w:p w14:paraId="0A17B365">
      <w:pPr>
        <w:keepNext w:val="0"/>
        <w:keepLines w:val="0"/>
        <w:pageBreakBefore w:val="0"/>
        <w:widowControl/>
        <w:kinsoku w:val="0"/>
        <w:wordWrap/>
        <w:overflowPunct/>
        <w:topLinePunct w:val="0"/>
        <w:autoSpaceDE w:val="0"/>
        <w:autoSpaceDN w:val="0"/>
        <w:bidi w:val="0"/>
        <w:adjustRightInd w:val="0"/>
        <w:snapToGrid w:val="0"/>
        <w:spacing w:before="29" w:line="600" w:lineRule="exact"/>
        <w:ind w:left="3090"/>
        <w:textAlignment w:val="baseline"/>
        <w:rPr>
          <w:rFonts w:ascii="黑体" w:hAnsi="黑体" w:eastAsia="黑体" w:cs="黑体"/>
          <w:color w:val="000000" w:themeColor="text1"/>
          <w:spacing w:val="-3"/>
          <w:sz w:val="32"/>
          <w:szCs w:val="32"/>
          <w14:textFill>
            <w14:solidFill>
              <w14:schemeClr w14:val="tx1"/>
            </w14:solidFill>
          </w14:textFill>
        </w:rPr>
      </w:pPr>
      <w:r>
        <w:rPr>
          <w:rFonts w:ascii="黑体" w:hAnsi="黑体" w:eastAsia="黑体" w:cs="黑体"/>
          <w:color w:val="000000" w:themeColor="text1"/>
          <w:spacing w:val="-3"/>
          <w:sz w:val="32"/>
          <w:szCs w:val="32"/>
          <w14:textFill>
            <w14:solidFill>
              <w14:schemeClr w14:val="tx1"/>
            </w14:solidFill>
          </w14:textFill>
        </w:rPr>
        <w:t>第二章  收益分配</w:t>
      </w:r>
    </w:p>
    <w:p w14:paraId="24B61128">
      <w:pPr>
        <w:keepNext w:val="0"/>
        <w:keepLines w:val="0"/>
        <w:pageBreakBefore w:val="0"/>
        <w:widowControl/>
        <w:kinsoku w:val="0"/>
        <w:wordWrap/>
        <w:overflowPunct/>
        <w:topLinePunct w:val="0"/>
        <w:autoSpaceDE w:val="0"/>
        <w:autoSpaceDN w:val="0"/>
        <w:bidi w:val="0"/>
        <w:adjustRightInd w:val="0"/>
        <w:snapToGrid w:val="0"/>
        <w:spacing w:line="600" w:lineRule="exact"/>
        <w:ind w:right="0" w:firstLine="643" w:firstLineChars="200"/>
        <w:jc w:val="both"/>
        <w:textAlignment w:val="baseline"/>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pPr>
      <w:r>
        <w:rPr>
          <w:rFonts w:hint="eastAsia" w:ascii="方正楷体_GB2312" w:hAnsi="方正楷体_GB2312" w:eastAsia="方正楷体_GB2312" w:cs="方正楷体_GB2312"/>
          <w:b/>
          <w:bCs w:val="0"/>
          <w:color w:val="000000" w:themeColor="text1"/>
          <w:sz w:val="32"/>
          <w:szCs w:val="32"/>
          <w:highlight w:val="none"/>
          <w:lang w:val="en-US" w:eastAsia="zh-CN"/>
          <w14:textFill>
            <w14:solidFill>
              <w14:schemeClr w14:val="tx1"/>
            </w14:solidFill>
          </w14:textFill>
        </w:rPr>
        <w:t>第四条</w:t>
      </w:r>
      <w:r>
        <w:rPr>
          <w:rFonts w:hint="eastAsia" w:ascii="仿宋_GB2312" w:hAnsi="仿宋_GB2312" w:eastAsia="仿宋_GB2312" w:cs="仿宋_GB2312"/>
          <w:b/>
          <w:bCs w:val="0"/>
          <w:color w:val="000000" w:themeColor="text1"/>
          <w:sz w:val="32"/>
          <w:szCs w:val="32"/>
          <w:highlight w:val="none"/>
          <w:lang w:val="en-US" w:eastAsia="zh-CN"/>
          <w14:textFill>
            <w14:solidFill>
              <w14:schemeClr w14:val="tx1"/>
            </w14:solidFill>
          </w14:textFill>
        </w:rPr>
        <w:t xml:space="preserve"> </w:t>
      </w:r>
      <w:r>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t>入市成交总价款扣除土地取得成本、中介费、土地增值收益调节金和土地开发支出等费用后余下的收益部分，应在集体经济组织与本集体成员之间合理分配，具体分配收益归属如下：</w:t>
      </w:r>
    </w:p>
    <w:p w14:paraId="1E0F74B3">
      <w:pPr>
        <w:keepNext w:val="0"/>
        <w:keepLines w:val="0"/>
        <w:pageBreakBefore w:val="0"/>
        <w:widowControl/>
        <w:kinsoku w:val="0"/>
        <w:wordWrap/>
        <w:overflowPunct/>
        <w:topLinePunct w:val="0"/>
        <w:autoSpaceDE w:val="0"/>
        <w:autoSpaceDN w:val="0"/>
        <w:bidi w:val="0"/>
        <w:adjustRightInd w:val="0"/>
        <w:snapToGrid w:val="0"/>
        <w:spacing w:line="600" w:lineRule="exact"/>
        <w:ind w:right="0" w:firstLine="649"/>
        <w:jc w:val="both"/>
        <w:textAlignment w:val="baseline"/>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t>(一)集体经营性建设用地属乡镇集体经济组织所有的，其集体收益由乡镇集体经济组织全额留成，用于发展壮大集体经济。</w:t>
      </w:r>
    </w:p>
    <w:p w14:paraId="6D67AD9D">
      <w:pPr>
        <w:keepNext w:val="0"/>
        <w:keepLines w:val="0"/>
        <w:pageBreakBefore w:val="0"/>
        <w:widowControl/>
        <w:kinsoku w:val="0"/>
        <w:wordWrap/>
        <w:overflowPunct/>
        <w:topLinePunct w:val="0"/>
        <w:autoSpaceDE w:val="0"/>
        <w:autoSpaceDN w:val="0"/>
        <w:bidi w:val="0"/>
        <w:adjustRightInd w:val="0"/>
        <w:snapToGrid w:val="0"/>
        <w:spacing w:line="600" w:lineRule="exact"/>
        <w:ind w:right="0" w:firstLine="649"/>
        <w:jc w:val="both"/>
        <w:textAlignment w:val="baseline"/>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t>(二)集体经营性建设用地属村集体经济组织所有的，其村集体经济组织留存比例原则上不高于净收益部分的30%，纳入农村集体资产统一管理，可用于壮大农村集体经济组织、生产生活设施改造、公益事业建设、改善民生、发展二三产业及医疗保险等。剩余部分可用于农村集体经济组织成员分红。</w:t>
      </w:r>
    </w:p>
    <w:p w14:paraId="125BDE9B">
      <w:pPr>
        <w:keepNext w:val="0"/>
        <w:keepLines w:val="0"/>
        <w:pageBreakBefore w:val="0"/>
        <w:widowControl/>
        <w:kinsoku w:val="0"/>
        <w:wordWrap/>
        <w:overflowPunct/>
        <w:topLinePunct w:val="0"/>
        <w:autoSpaceDE w:val="0"/>
        <w:autoSpaceDN w:val="0"/>
        <w:bidi w:val="0"/>
        <w:adjustRightInd w:val="0"/>
        <w:snapToGrid w:val="0"/>
        <w:spacing w:line="600" w:lineRule="exact"/>
        <w:ind w:right="0" w:firstLine="649"/>
        <w:jc w:val="both"/>
        <w:textAlignment w:val="baseline"/>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t>(三)集体经营性建设用地属多个村所有的，依据“四议两公开”制度有关规定，综合各村入市的集体土地面积等因素确定土地收益分配和使用方案，报所在乡镇人民政府同意后实施。</w:t>
      </w:r>
    </w:p>
    <w:p w14:paraId="0AD637D9">
      <w:pPr>
        <w:keepNext w:val="0"/>
        <w:keepLines w:val="0"/>
        <w:pageBreakBefore w:val="0"/>
        <w:widowControl/>
        <w:kinsoku w:val="0"/>
        <w:wordWrap/>
        <w:overflowPunct/>
        <w:topLinePunct w:val="0"/>
        <w:autoSpaceDE w:val="0"/>
        <w:autoSpaceDN w:val="0"/>
        <w:bidi w:val="0"/>
        <w:adjustRightInd w:val="0"/>
        <w:snapToGrid w:val="0"/>
        <w:spacing w:line="600" w:lineRule="exact"/>
        <w:ind w:right="0" w:firstLine="649"/>
        <w:jc w:val="both"/>
        <w:textAlignment w:val="baseline"/>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t>分红入市收益不得用于投资股市、私企及民间借贷等高风险业务。</w:t>
      </w:r>
    </w:p>
    <w:p w14:paraId="72093198">
      <w:pPr>
        <w:keepNext w:val="0"/>
        <w:keepLines w:val="0"/>
        <w:pageBreakBefore w:val="0"/>
        <w:widowControl/>
        <w:kinsoku w:val="0"/>
        <w:wordWrap/>
        <w:overflowPunct/>
        <w:topLinePunct w:val="0"/>
        <w:autoSpaceDE w:val="0"/>
        <w:autoSpaceDN w:val="0"/>
        <w:bidi w:val="0"/>
        <w:adjustRightInd w:val="0"/>
        <w:snapToGrid w:val="0"/>
        <w:spacing w:line="600" w:lineRule="exact"/>
        <w:ind w:right="0" w:firstLine="649"/>
        <w:jc w:val="both"/>
        <w:textAlignment w:val="baseline"/>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pPr>
      <w:r>
        <w:rPr>
          <w:rFonts w:hint="eastAsia" w:ascii="方正楷体_GB2312" w:hAnsi="方正楷体_GB2312" w:eastAsia="方正楷体_GB2312" w:cs="方正楷体_GB2312"/>
          <w:b/>
          <w:bCs w:val="0"/>
          <w:color w:val="000000" w:themeColor="text1"/>
          <w:sz w:val="32"/>
          <w:szCs w:val="32"/>
          <w:highlight w:val="none"/>
          <w:lang w:val="en-US" w:eastAsia="zh-CN"/>
          <w14:textFill>
            <w14:solidFill>
              <w14:schemeClr w14:val="tx1"/>
            </w14:solidFill>
          </w14:textFill>
        </w:rPr>
        <w:t>第五条</w:t>
      </w:r>
      <w:r>
        <w:rPr>
          <w:rFonts w:hint="eastAsia" w:ascii="仿宋_GB2312" w:hAnsi="仿宋_GB2312" w:eastAsia="仿宋_GB2312" w:cs="仿宋_GB2312"/>
          <w:b/>
          <w:bCs w:val="0"/>
          <w:color w:val="000000" w:themeColor="text1"/>
          <w:sz w:val="32"/>
          <w:szCs w:val="32"/>
          <w:highlight w:val="none"/>
          <w:lang w:val="en-US" w:eastAsia="zh-CN"/>
          <w14:textFill>
            <w14:solidFill>
              <w14:schemeClr w14:val="tx1"/>
            </w14:solidFill>
          </w14:textFill>
        </w:rPr>
        <w:t xml:space="preserve"> </w:t>
      </w:r>
      <w:r>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t>参与分配的集体经济组织成员资格，由各相关集体经济组织根据《中华人民共和国农村集体经济组织法》</w:t>
      </w:r>
      <w:bookmarkStart w:id="0" w:name="_GoBack"/>
      <w:bookmarkEnd w:id="0"/>
      <w:r>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t>相关规定结合各自集体经济组织实际，经成员</w:t>
      </w:r>
      <w:r>
        <w:rPr>
          <w:rFonts w:ascii="FangSong" w:hAnsi="FangSong" w:eastAsia="FangSong" w:cs="FangSong"/>
          <w:color w:val="000000" w:themeColor="text1"/>
          <w:spacing w:val="-5"/>
          <w:sz w:val="32"/>
          <w:szCs w:val="32"/>
          <w14:textFill>
            <w14:solidFill>
              <w14:schemeClr w14:val="tx1"/>
            </w14:solidFill>
          </w14:textFill>
        </w:rPr>
        <w:t>大会</w:t>
      </w:r>
      <w:r>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t>表决确定。</w:t>
      </w:r>
    </w:p>
    <w:p w14:paraId="726A0B2E">
      <w:pPr>
        <w:keepNext w:val="0"/>
        <w:keepLines w:val="0"/>
        <w:pageBreakBefore w:val="0"/>
        <w:widowControl/>
        <w:kinsoku w:val="0"/>
        <w:wordWrap/>
        <w:overflowPunct/>
        <w:topLinePunct w:val="0"/>
        <w:autoSpaceDE w:val="0"/>
        <w:autoSpaceDN w:val="0"/>
        <w:bidi w:val="0"/>
        <w:adjustRightInd w:val="0"/>
        <w:snapToGrid w:val="0"/>
        <w:spacing w:line="600" w:lineRule="exact"/>
        <w:ind w:right="0" w:firstLine="649"/>
        <w:jc w:val="both"/>
        <w:textAlignment w:val="baseline"/>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pPr>
      <w:r>
        <w:rPr>
          <w:rFonts w:hint="eastAsia" w:ascii="方正楷体_GB2312" w:hAnsi="方正楷体_GB2312" w:eastAsia="方正楷体_GB2312" w:cs="方正楷体_GB2312"/>
          <w:b/>
          <w:bCs w:val="0"/>
          <w:color w:val="000000" w:themeColor="text1"/>
          <w:sz w:val="32"/>
          <w:szCs w:val="32"/>
          <w:highlight w:val="none"/>
          <w:lang w:val="en-US" w:eastAsia="zh-CN"/>
          <w14:textFill>
            <w14:solidFill>
              <w14:schemeClr w14:val="tx1"/>
            </w14:solidFill>
          </w14:textFill>
        </w:rPr>
        <w:t>第六条</w:t>
      </w:r>
      <w:r>
        <w:rPr>
          <w:rFonts w:hint="eastAsia" w:ascii="仿宋_GB2312" w:hAnsi="仿宋_GB2312" w:eastAsia="仿宋_GB2312" w:cs="仿宋_GB2312"/>
          <w:b/>
          <w:bCs w:val="0"/>
          <w:color w:val="000000" w:themeColor="text1"/>
          <w:sz w:val="32"/>
          <w:szCs w:val="32"/>
          <w:highlight w:val="none"/>
          <w:lang w:val="en-US" w:eastAsia="zh-CN"/>
          <w14:textFill>
            <w14:solidFill>
              <w14:schemeClr w14:val="tx1"/>
            </w14:solidFill>
          </w14:textFill>
        </w:rPr>
        <w:t xml:space="preserve"> </w:t>
      </w:r>
      <w:r>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t>集体经营性建设用地入市的集体收益，按照村集体资产管理规定执行。</w:t>
      </w:r>
    </w:p>
    <w:p w14:paraId="06C8110B">
      <w:pPr>
        <w:keepNext w:val="0"/>
        <w:keepLines w:val="0"/>
        <w:pageBreakBefore w:val="0"/>
        <w:widowControl/>
        <w:kinsoku w:val="0"/>
        <w:wordWrap/>
        <w:overflowPunct/>
        <w:topLinePunct w:val="0"/>
        <w:autoSpaceDE w:val="0"/>
        <w:autoSpaceDN w:val="0"/>
        <w:bidi w:val="0"/>
        <w:adjustRightInd w:val="0"/>
        <w:snapToGrid w:val="0"/>
        <w:spacing w:before="215" w:line="600" w:lineRule="exact"/>
        <w:ind w:left="3070"/>
        <w:textAlignment w:val="baseline"/>
        <w:rPr>
          <w:rFonts w:hint="eastAsia"/>
          <w:color w:val="000000" w:themeColor="text1"/>
          <w:lang w:val="en-US" w:eastAsia="zh-CN"/>
          <w14:textFill>
            <w14:solidFill>
              <w14:schemeClr w14:val="tx1"/>
            </w14:solidFill>
          </w14:textFill>
        </w:rPr>
      </w:pPr>
      <w:r>
        <w:rPr>
          <w:rFonts w:ascii="黑体" w:hAnsi="黑体" w:eastAsia="黑体" w:cs="黑体"/>
          <w:color w:val="000000" w:themeColor="text1"/>
          <w:spacing w:val="-3"/>
          <w:sz w:val="32"/>
          <w:szCs w:val="32"/>
          <w14:textFill>
            <w14:solidFill>
              <w14:schemeClr w14:val="tx1"/>
            </w14:solidFill>
          </w14:textFill>
        </w:rPr>
        <w:t>第三章  使用管理</w:t>
      </w:r>
    </w:p>
    <w:p w14:paraId="5A8563C3">
      <w:pPr>
        <w:keepNext w:val="0"/>
        <w:keepLines w:val="0"/>
        <w:pageBreakBefore w:val="0"/>
        <w:widowControl/>
        <w:kinsoku w:val="0"/>
        <w:wordWrap/>
        <w:overflowPunct/>
        <w:topLinePunct w:val="0"/>
        <w:autoSpaceDE w:val="0"/>
        <w:autoSpaceDN w:val="0"/>
        <w:bidi w:val="0"/>
        <w:adjustRightInd w:val="0"/>
        <w:snapToGrid w:val="0"/>
        <w:spacing w:line="600" w:lineRule="exact"/>
        <w:ind w:right="0" w:firstLine="649"/>
        <w:jc w:val="both"/>
        <w:textAlignment w:val="baseline"/>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pPr>
      <w:r>
        <w:rPr>
          <w:rFonts w:hint="eastAsia" w:ascii="方正楷体_GB2312" w:hAnsi="方正楷体_GB2312" w:eastAsia="方正楷体_GB2312" w:cs="方正楷体_GB2312"/>
          <w:b/>
          <w:bCs w:val="0"/>
          <w:color w:val="000000" w:themeColor="text1"/>
          <w:sz w:val="32"/>
          <w:szCs w:val="32"/>
          <w:highlight w:val="none"/>
          <w:lang w:val="en-US" w:eastAsia="zh-CN"/>
          <w14:textFill>
            <w14:solidFill>
              <w14:schemeClr w14:val="tx1"/>
            </w14:solidFill>
          </w14:textFill>
        </w:rPr>
        <w:t>第七条</w:t>
      </w:r>
      <w:r>
        <w:rPr>
          <w:rFonts w:hint="eastAsia" w:ascii="仿宋_GB2312" w:hAnsi="仿宋_GB2312" w:eastAsia="仿宋_GB2312" w:cs="仿宋_GB2312"/>
          <w:b/>
          <w:bCs w:val="0"/>
          <w:color w:val="000000" w:themeColor="text1"/>
          <w:sz w:val="32"/>
          <w:szCs w:val="32"/>
          <w:highlight w:val="none"/>
          <w:lang w:val="en-US" w:eastAsia="zh-CN"/>
          <w14:textFill>
            <w14:solidFill>
              <w14:schemeClr w14:val="tx1"/>
            </w14:solidFill>
          </w14:textFill>
        </w:rPr>
        <w:t xml:space="preserve"> </w:t>
      </w:r>
      <w:r>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t>农村集体经营性建设用地入市的集体收益，应实行专账核算、专户存储、专项管理，主要用于集体成员的社会保障安排、农村基础设施和公共服务设施建设、集体经济建设和民生项目等支出，不得用于发放干部报酬、支付招待费用等非生产性开支。</w:t>
      </w:r>
    </w:p>
    <w:p w14:paraId="6EDE6E58">
      <w:pPr>
        <w:keepNext w:val="0"/>
        <w:keepLines w:val="0"/>
        <w:pageBreakBefore w:val="0"/>
        <w:widowControl/>
        <w:kinsoku w:val="0"/>
        <w:wordWrap/>
        <w:overflowPunct/>
        <w:topLinePunct w:val="0"/>
        <w:autoSpaceDE w:val="0"/>
        <w:autoSpaceDN w:val="0"/>
        <w:bidi w:val="0"/>
        <w:adjustRightInd w:val="0"/>
        <w:snapToGrid w:val="0"/>
        <w:spacing w:after="0" w:afterLines="100" w:line="600" w:lineRule="exact"/>
        <w:ind w:right="0" w:firstLine="646"/>
        <w:jc w:val="both"/>
        <w:textAlignment w:val="baseline"/>
        <w:rPr>
          <w:rFonts w:hint="eastAsia"/>
          <w:color w:val="000000" w:themeColor="text1"/>
          <w:lang w:val="en-US" w:eastAsia="zh-CN"/>
          <w14:textFill>
            <w14:solidFill>
              <w14:schemeClr w14:val="tx1"/>
            </w14:solidFill>
          </w14:textFill>
        </w:rPr>
      </w:pPr>
      <w:r>
        <w:rPr>
          <w:rFonts w:hint="eastAsia" w:ascii="方正楷体_GB2312" w:hAnsi="方正楷体_GB2312" w:eastAsia="方正楷体_GB2312" w:cs="方正楷体_GB2312"/>
          <w:b/>
          <w:bCs w:val="0"/>
          <w:color w:val="000000" w:themeColor="text1"/>
          <w:sz w:val="32"/>
          <w:szCs w:val="32"/>
          <w:highlight w:val="none"/>
          <w:lang w:val="en-US" w:eastAsia="zh-CN"/>
          <w14:textFill>
            <w14:solidFill>
              <w14:schemeClr w14:val="tx1"/>
            </w14:solidFill>
          </w14:textFill>
        </w:rPr>
        <w:t xml:space="preserve">第八条 </w:t>
      </w:r>
      <w:r>
        <w:rPr>
          <w:rFonts w:hint="eastAsia" w:ascii="FangSong" w:hAnsi="FangSong" w:eastAsia="FangSong" w:cs="FangSong"/>
          <w:color w:val="000000" w:themeColor="text1"/>
          <w:sz w:val="32"/>
          <w:szCs w:val="32"/>
          <w:lang w:val="en-US" w:eastAsia="zh-CN"/>
          <w14:textFill>
            <w14:solidFill>
              <w14:schemeClr w14:val="tx1"/>
            </w14:solidFill>
          </w14:textFill>
        </w:rPr>
        <w:t>入市收益使用分配程序：</w:t>
      </w:r>
      <w:r>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t>农村集体经济组织理</w:t>
      </w:r>
      <w:r>
        <w:rPr>
          <w:rFonts w:hint="eastAsia" w:ascii="FangSong" w:hAnsi="FangSong" w:eastAsia="FangSong" w:cs="FangSong"/>
          <w:color w:val="000000" w:themeColor="text1"/>
          <w:sz w:val="32"/>
          <w:szCs w:val="32"/>
          <w:lang w:val="en-US" w:eastAsia="zh-CN"/>
          <w14:textFill>
            <w14:solidFill>
              <w14:schemeClr w14:val="tx1"/>
            </w14:solidFill>
          </w14:textFill>
        </w:rPr>
        <w:t>事会拟定初步分配方案，经农村集体经济组织成员大会或成员代表会议三分之二以上表决通过，进行分配方案公示(公示时间不少于7个工作日)，上报乡（镇）初审，乡（镇）财政部门办理拨付资金有关手续，</w:t>
      </w:r>
      <w:r>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t>农村集体经济组织</w:t>
      </w:r>
      <w:r>
        <w:rPr>
          <w:rFonts w:hint="eastAsia" w:ascii="FangSong" w:hAnsi="FangSong" w:eastAsia="FangSong" w:cs="FangSong"/>
          <w:color w:val="000000" w:themeColor="text1"/>
          <w:sz w:val="32"/>
          <w:szCs w:val="32"/>
          <w:lang w:val="en-US" w:eastAsia="zh-CN"/>
          <w14:textFill>
            <w14:solidFill>
              <w14:schemeClr w14:val="tx1"/>
            </w14:solidFill>
          </w14:textFill>
        </w:rPr>
        <w:t>负责实施。</w:t>
      </w:r>
    </w:p>
    <w:p w14:paraId="78E2C631">
      <w:pPr>
        <w:keepNext w:val="0"/>
        <w:keepLines w:val="0"/>
        <w:pageBreakBefore w:val="0"/>
        <w:widowControl/>
        <w:kinsoku w:val="0"/>
        <w:wordWrap/>
        <w:overflowPunct/>
        <w:topLinePunct w:val="0"/>
        <w:autoSpaceDE w:val="0"/>
        <w:autoSpaceDN w:val="0"/>
        <w:bidi w:val="0"/>
        <w:adjustRightInd w:val="0"/>
        <w:snapToGrid w:val="0"/>
        <w:spacing w:before="41" w:after="0" w:afterLines="50" w:line="600" w:lineRule="exact"/>
        <w:jc w:val="center"/>
        <w:textAlignment w:val="baseline"/>
        <w:rPr>
          <w:rFonts w:hint="eastAsia" w:eastAsia="黑体"/>
          <w:color w:val="000000" w:themeColor="text1"/>
          <w:lang w:eastAsia="zh-CN"/>
          <w14:textFill>
            <w14:solidFill>
              <w14:schemeClr w14:val="tx1"/>
            </w14:solidFill>
          </w14:textFill>
        </w:rPr>
      </w:pPr>
      <w:r>
        <w:rPr>
          <w:rFonts w:ascii="黑体" w:hAnsi="黑体" w:eastAsia="黑体" w:cs="黑体"/>
          <w:color w:val="000000" w:themeColor="text1"/>
          <w:spacing w:val="19"/>
          <w:sz w:val="32"/>
          <w:szCs w:val="32"/>
          <w14:textFill>
            <w14:solidFill>
              <w14:schemeClr w14:val="tx1"/>
            </w14:solidFill>
          </w14:textFill>
        </w:rPr>
        <w:t>第</w:t>
      </w:r>
      <w:r>
        <w:rPr>
          <w:rFonts w:hint="eastAsia" w:ascii="黑体" w:hAnsi="黑体" w:eastAsia="黑体" w:cs="黑体"/>
          <w:color w:val="000000" w:themeColor="text1"/>
          <w:spacing w:val="19"/>
          <w:sz w:val="32"/>
          <w:szCs w:val="32"/>
          <w:lang w:eastAsia="zh-CN"/>
          <w14:textFill>
            <w14:solidFill>
              <w14:schemeClr w14:val="tx1"/>
            </w14:solidFill>
          </w14:textFill>
        </w:rPr>
        <w:t>四</w:t>
      </w:r>
      <w:r>
        <w:rPr>
          <w:rFonts w:ascii="黑体" w:hAnsi="黑体" w:eastAsia="黑体" w:cs="黑体"/>
          <w:color w:val="000000" w:themeColor="text1"/>
          <w:spacing w:val="19"/>
          <w:sz w:val="32"/>
          <w:szCs w:val="32"/>
          <w14:textFill>
            <w14:solidFill>
              <w14:schemeClr w14:val="tx1"/>
            </w14:solidFill>
          </w14:textFill>
        </w:rPr>
        <w:t>章</w:t>
      </w:r>
      <w:r>
        <w:rPr>
          <w:rFonts w:hint="eastAsia" w:ascii="黑体" w:hAnsi="黑体" w:eastAsia="黑体" w:cs="黑体"/>
          <w:color w:val="000000" w:themeColor="text1"/>
          <w:spacing w:val="19"/>
          <w:sz w:val="32"/>
          <w:szCs w:val="32"/>
          <w:lang w:val="en-US" w:eastAsia="zh-CN"/>
          <w14:textFill>
            <w14:solidFill>
              <w14:schemeClr w14:val="tx1"/>
            </w14:solidFill>
          </w14:textFill>
        </w:rPr>
        <w:t xml:space="preserve"> </w:t>
      </w:r>
      <w:r>
        <w:rPr>
          <w:rFonts w:hint="eastAsia" w:ascii="黑体" w:hAnsi="黑体" w:eastAsia="黑体" w:cs="黑体"/>
          <w:color w:val="000000" w:themeColor="text1"/>
          <w:spacing w:val="19"/>
          <w:sz w:val="32"/>
          <w:szCs w:val="32"/>
          <w:lang w:eastAsia="zh-CN"/>
          <w14:textFill>
            <w14:solidFill>
              <w14:schemeClr w14:val="tx1"/>
            </w14:solidFill>
          </w14:textFill>
        </w:rPr>
        <w:t>加强监管与指导</w:t>
      </w:r>
    </w:p>
    <w:p w14:paraId="24EE5686">
      <w:pPr>
        <w:keepNext w:val="0"/>
        <w:keepLines w:val="0"/>
        <w:pageBreakBefore w:val="0"/>
        <w:widowControl/>
        <w:kinsoku w:val="0"/>
        <w:wordWrap/>
        <w:overflowPunct/>
        <w:topLinePunct w:val="0"/>
        <w:autoSpaceDE w:val="0"/>
        <w:autoSpaceDN w:val="0"/>
        <w:bidi w:val="0"/>
        <w:adjustRightInd w:val="0"/>
        <w:snapToGrid w:val="0"/>
        <w:spacing w:line="600" w:lineRule="exact"/>
        <w:ind w:right="0" w:firstLine="643" w:firstLineChars="200"/>
        <w:jc w:val="both"/>
        <w:textAlignment w:val="baseline"/>
        <w:rPr>
          <w:rFonts w:hint="eastAsia" w:ascii="方正楷体_GB2312" w:hAnsi="方正楷体_GB2312" w:eastAsia="方正楷体_GB2312" w:cs="方正楷体_GB2312"/>
          <w:b/>
          <w:bCs w:val="0"/>
          <w:color w:val="000000" w:themeColor="text1"/>
          <w:sz w:val="32"/>
          <w:szCs w:val="32"/>
          <w:highlight w:val="none"/>
          <w:lang w:val="en-US" w:eastAsia="zh-CN"/>
          <w14:textFill>
            <w14:solidFill>
              <w14:schemeClr w14:val="tx1"/>
            </w14:solidFill>
          </w14:textFill>
        </w:rPr>
      </w:pPr>
      <w:r>
        <w:rPr>
          <w:rFonts w:hint="eastAsia" w:ascii="方正楷体_GB2312" w:hAnsi="方正楷体_GB2312" w:eastAsia="方正楷体_GB2312" w:cs="方正楷体_GB2312"/>
          <w:b/>
          <w:bCs w:val="0"/>
          <w:color w:val="000000" w:themeColor="text1"/>
          <w:sz w:val="32"/>
          <w:szCs w:val="32"/>
          <w:highlight w:val="none"/>
          <w:lang w:val="en-US" w:eastAsia="zh-CN"/>
          <w14:textFill>
            <w14:solidFill>
              <w14:schemeClr w14:val="tx1"/>
            </w14:solidFill>
          </w14:textFill>
        </w:rPr>
        <w:t>第九条</w:t>
      </w:r>
      <w:r>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t xml:space="preserve"> 农村土地收益任何人不得私自收取、减免、截留、挪用、侵占。</w:t>
      </w:r>
      <w:r>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br w:type="textWrapping"/>
      </w:r>
      <w:r>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t xml:space="preserve">    </w:t>
      </w:r>
      <w:r>
        <w:rPr>
          <w:rFonts w:hint="eastAsia" w:ascii="方正楷体_GB2312" w:hAnsi="方正楷体_GB2312" w:eastAsia="方正楷体_GB2312" w:cs="方正楷体_GB2312"/>
          <w:b/>
          <w:bCs w:val="0"/>
          <w:color w:val="000000" w:themeColor="text1"/>
          <w:sz w:val="32"/>
          <w:szCs w:val="32"/>
          <w:highlight w:val="none"/>
          <w:lang w:val="en-US" w:eastAsia="zh-CN"/>
          <w14:textFill>
            <w14:solidFill>
              <w14:schemeClr w14:val="tx1"/>
            </w14:solidFill>
          </w14:textFill>
        </w:rPr>
        <w:t>第十条</w:t>
      </w:r>
      <w:r>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t xml:space="preserve"> 农村集体经营性建设用地入市集体收益的分配和使用情况，应当纳入村务公开，向集体经济组织成员公开，接受审计监督和政府监管。</w:t>
      </w:r>
    </w:p>
    <w:p w14:paraId="6AB8433B">
      <w:pPr>
        <w:keepNext w:val="0"/>
        <w:keepLines w:val="0"/>
        <w:pageBreakBefore w:val="0"/>
        <w:widowControl/>
        <w:kinsoku w:val="0"/>
        <w:wordWrap/>
        <w:overflowPunct/>
        <w:topLinePunct w:val="0"/>
        <w:autoSpaceDE w:val="0"/>
        <w:autoSpaceDN w:val="0"/>
        <w:bidi w:val="0"/>
        <w:adjustRightInd w:val="0"/>
        <w:snapToGrid w:val="0"/>
        <w:spacing w:line="600" w:lineRule="exact"/>
        <w:ind w:right="0" w:firstLine="649"/>
        <w:jc w:val="both"/>
        <w:textAlignment w:val="baseline"/>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pPr>
      <w:r>
        <w:rPr>
          <w:rFonts w:hint="eastAsia" w:ascii="方正楷体_GB2312" w:hAnsi="方正楷体_GB2312" w:eastAsia="方正楷体_GB2312" w:cs="方正楷体_GB2312"/>
          <w:b/>
          <w:bCs w:val="0"/>
          <w:color w:val="000000" w:themeColor="text1"/>
          <w:sz w:val="32"/>
          <w:szCs w:val="32"/>
          <w:highlight w:val="none"/>
          <w:lang w:val="en-US" w:eastAsia="zh-CN"/>
          <w14:textFill>
            <w14:solidFill>
              <w14:schemeClr w14:val="tx1"/>
            </w14:solidFill>
          </w14:textFill>
        </w:rPr>
        <w:t>第十一条</w:t>
      </w:r>
      <w:r>
        <w:rPr>
          <w:rFonts w:hint="eastAsia" w:ascii="仿宋_GB2312" w:hAnsi="仿宋_GB2312" w:eastAsia="仿宋_GB2312" w:cs="仿宋_GB2312"/>
          <w:b/>
          <w:bCs w:val="0"/>
          <w:color w:val="000000" w:themeColor="text1"/>
          <w:sz w:val="32"/>
          <w:szCs w:val="32"/>
          <w:highlight w:val="none"/>
          <w:lang w:val="en-US" w:eastAsia="zh-CN"/>
          <w14:textFill>
            <w14:solidFill>
              <w14:schemeClr w14:val="tx1"/>
            </w14:solidFill>
          </w14:textFill>
        </w:rPr>
        <w:t xml:space="preserve"> </w:t>
      </w:r>
      <w:r>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t>乡（镇）应切实加强收益分配的监督与指导，强化有效的监督手段，推动收益分配制度的不断完善。实行收益分配方案审核报备制度，乡（镇）应对农村集体经济组织拟定的收益分配方案进行审核。农村集体经济组织收益分配情况纳入监管平台，实施重点监管，做到实时查询、实时指导。</w:t>
      </w:r>
    </w:p>
    <w:p w14:paraId="4C1CDECC">
      <w:pPr>
        <w:pStyle w:val="2"/>
        <w:keepNext w:val="0"/>
        <w:keepLines w:val="0"/>
        <w:pageBreakBefore w:val="0"/>
        <w:widowControl/>
        <w:kinsoku w:val="0"/>
        <w:wordWrap/>
        <w:overflowPunct/>
        <w:topLinePunct w:val="0"/>
        <w:autoSpaceDE w:val="0"/>
        <w:autoSpaceDN w:val="0"/>
        <w:bidi w:val="0"/>
        <w:adjustRightInd w:val="0"/>
        <w:snapToGrid w:val="0"/>
        <w:spacing w:line="600" w:lineRule="exact"/>
        <w:jc w:val="center"/>
        <w:textAlignment w:val="baseline"/>
        <w:rPr>
          <w:rFonts w:hint="eastAsia"/>
          <w:color w:val="000000" w:themeColor="text1"/>
          <w:lang w:val="en-US" w:eastAsia="zh-CN"/>
          <w14:textFill>
            <w14:solidFill>
              <w14:schemeClr w14:val="tx1"/>
            </w14:solidFill>
          </w14:textFill>
        </w:rPr>
      </w:pPr>
    </w:p>
    <w:p w14:paraId="6FADE92C">
      <w:pPr>
        <w:keepNext w:val="0"/>
        <w:keepLines w:val="0"/>
        <w:pageBreakBefore w:val="0"/>
        <w:widowControl/>
        <w:kinsoku w:val="0"/>
        <w:wordWrap/>
        <w:overflowPunct/>
        <w:topLinePunct w:val="0"/>
        <w:autoSpaceDE w:val="0"/>
        <w:autoSpaceDN w:val="0"/>
        <w:bidi w:val="0"/>
        <w:adjustRightInd w:val="0"/>
        <w:snapToGrid w:val="0"/>
        <w:spacing w:after="0" w:afterLines="100" w:line="600" w:lineRule="exact"/>
        <w:jc w:val="center"/>
        <w:textAlignment w:val="baseline"/>
        <w:rPr>
          <w:rFonts w:hint="eastAsia" w:eastAsia="黑体"/>
          <w:color w:val="000000" w:themeColor="text1"/>
          <w:lang w:eastAsia="zh-CN"/>
          <w14:textFill>
            <w14:solidFill>
              <w14:schemeClr w14:val="tx1"/>
            </w14:solidFill>
          </w14:textFill>
        </w:rPr>
      </w:pPr>
      <w:r>
        <w:rPr>
          <w:rFonts w:ascii="黑体" w:hAnsi="黑体" w:eastAsia="黑体" w:cs="黑体"/>
          <w:color w:val="000000" w:themeColor="text1"/>
          <w:spacing w:val="19"/>
          <w:sz w:val="32"/>
          <w:szCs w:val="32"/>
          <w14:textFill>
            <w14:solidFill>
              <w14:schemeClr w14:val="tx1"/>
            </w14:solidFill>
          </w14:textFill>
        </w:rPr>
        <w:t>第</w:t>
      </w:r>
      <w:r>
        <w:rPr>
          <w:rFonts w:hint="eastAsia" w:ascii="黑体" w:hAnsi="黑体" w:eastAsia="黑体" w:cs="黑体"/>
          <w:color w:val="000000" w:themeColor="text1"/>
          <w:spacing w:val="19"/>
          <w:sz w:val="32"/>
          <w:szCs w:val="32"/>
          <w:lang w:eastAsia="zh-CN"/>
          <w14:textFill>
            <w14:solidFill>
              <w14:schemeClr w14:val="tx1"/>
            </w14:solidFill>
          </w14:textFill>
        </w:rPr>
        <w:t>五</w:t>
      </w:r>
      <w:r>
        <w:rPr>
          <w:rFonts w:ascii="黑体" w:hAnsi="黑体" w:eastAsia="黑体" w:cs="黑体"/>
          <w:color w:val="000000" w:themeColor="text1"/>
          <w:spacing w:val="19"/>
          <w:sz w:val="32"/>
          <w:szCs w:val="32"/>
          <w14:textFill>
            <w14:solidFill>
              <w14:schemeClr w14:val="tx1"/>
            </w14:solidFill>
          </w14:textFill>
        </w:rPr>
        <w:t>章</w:t>
      </w:r>
      <w:r>
        <w:rPr>
          <w:rFonts w:hint="eastAsia" w:ascii="黑体" w:hAnsi="黑体" w:eastAsia="黑体" w:cs="黑体"/>
          <w:color w:val="000000" w:themeColor="text1"/>
          <w:spacing w:val="19"/>
          <w:sz w:val="32"/>
          <w:szCs w:val="32"/>
          <w:lang w:val="en-US" w:eastAsia="zh-CN"/>
          <w14:textFill>
            <w14:solidFill>
              <w14:schemeClr w14:val="tx1"/>
            </w14:solidFill>
          </w14:textFill>
        </w:rPr>
        <w:t xml:space="preserve"> </w:t>
      </w:r>
      <w:r>
        <w:rPr>
          <w:rFonts w:ascii="黑体" w:hAnsi="黑体" w:eastAsia="黑体" w:cs="黑体"/>
          <w:color w:val="000000" w:themeColor="text1"/>
          <w:spacing w:val="19"/>
          <w:sz w:val="32"/>
          <w:szCs w:val="32"/>
          <w14:textFill>
            <w14:solidFill>
              <w14:schemeClr w14:val="tx1"/>
            </w14:solidFill>
          </w14:textFill>
        </w:rPr>
        <w:t>监督责任</w:t>
      </w:r>
    </w:p>
    <w:p w14:paraId="611DB2D8">
      <w:pPr>
        <w:keepNext w:val="0"/>
        <w:keepLines w:val="0"/>
        <w:pageBreakBefore w:val="0"/>
        <w:widowControl/>
        <w:kinsoku w:val="0"/>
        <w:wordWrap/>
        <w:overflowPunct/>
        <w:topLinePunct w:val="0"/>
        <w:autoSpaceDE w:val="0"/>
        <w:autoSpaceDN w:val="0"/>
        <w:bidi w:val="0"/>
        <w:adjustRightInd w:val="0"/>
        <w:snapToGrid w:val="0"/>
        <w:spacing w:line="600" w:lineRule="exact"/>
        <w:ind w:right="0" w:firstLine="649"/>
        <w:jc w:val="both"/>
        <w:textAlignment w:val="baseline"/>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pPr>
      <w:r>
        <w:rPr>
          <w:rFonts w:hint="eastAsia" w:ascii="方正楷体_GB2312" w:hAnsi="方正楷体_GB2312" w:eastAsia="方正楷体_GB2312" w:cs="方正楷体_GB2312"/>
          <w:b/>
          <w:bCs w:val="0"/>
          <w:color w:val="000000" w:themeColor="text1"/>
          <w:sz w:val="32"/>
          <w:szCs w:val="32"/>
          <w:highlight w:val="none"/>
          <w:lang w:val="en-US" w:eastAsia="zh-CN"/>
          <w14:textFill>
            <w14:solidFill>
              <w14:schemeClr w14:val="tx1"/>
            </w14:solidFill>
          </w14:textFill>
        </w:rPr>
        <w:t xml:space="preserve">第十二条 </w:t>
      </w:r>
      <w:r>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t>农村集体经济组织监事会负责本辖区土地收益具体用途及使用管理的监督。</w:t>
      </w:r>
      <w:r>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br w:type="textWrapping"/>
      </w:r>
      <w:r>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t xml:space="preserve">    </w:t>
      </w:r>
      <w:r>
        <w:rPr>
          <w:rFonts w:hint="eastAsia" w:ascii="方正楷体_GB2312" w:hAnsi="方正楷体_GB2312" w:eastAsia="方正楷体_GB2312" w:cs="方正楷体_GB2312"/>
          <w:b/>
          <w:bCs w:val="0"/>
          <w:color w:val="000000" w:themeColor="text1"/>
          <w:sz w:val="32"/>
          <w:szCs w:val="32"/>
          <w:highlight w:val="none"/>
          <w:lang w:val="en-US" w:eastAsia="zh-CN"/>
          <w14:textFill>
            <w14:solidFill>
              <w14:schemeClr w14:val="tx1"/>
            </w14:solidFill>
          </w14:textFill>
        </w:rPr>
        <w:t xml:space="preserve">第十三条 </w:t>
      </w:r>
      <w:r>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t>乡（镇）对农村集体经营性建设用地入市涉及农村集体经济组织土地收益规范性使用进行审核，及时准确反映经济往来，并加强监管。</w:t>
      </w:r>
    </w:p>
    <w:p w14:paraId="51FC3E78">
      <w:pPr>
        <w:keepNext w:val="0"/>
        <w:keepLines w:val="0"/>
        <w:pageBreakBefore w:val="0"/>
        <w:widowControl/>
        <w:kinsoku w:val="0"/>
        <w:wordWrap/>
        <w:overflowPunct/>
        <w:topLinePunct w:val="0"/>
        <w:autoSpaceDE w:val="0"/>
        <w:autoSpaceDN w:val="0"/>
        <w:bidi w:val="0"/>
        <w:adjustRightInd w:val="0"/>
        <w:snapToGrid w:val="0"/>
        <w:spacing w:before="219" w:line="600" w:lineRule="exact"/>
        <w:ind w:right="9" w:firstLine="643" w:firstLineChars="200"/>
        <w:textAlignment w:val="baseline"/>
        <w:rPr>
          <w:rFonts w:ascii="FangSong" w:hAnsi="FangSong" w:eastAsia="FangSong" w:cs="FangSong"/>
          <w:color w:val="000000" w:themeColor="text1"/>
          <w:sz w:val="32"/>
          <w:szCs w:val="32"/>
          <w14:textFill>
            <w14:solidFill>
              <w14:schemeClr w14:val="tx1"/>
            </w14:solidFill>
          </w14:textFill>
        </w:rPr>
      </w:pPr>
      <w:r>
        <w:rPr>
          <w:rFonts w:hint="eastAsia" w:ascii="方正楷体_GB2312" w:hAnsi="方正楷体_GB2312" w:eastAsia="方正楷体_GB2312" w:cs="方正楷体_GB2312"/>
          <w:b/>
          <w:bCs w:val="0"/>
          <w:color w:val="000000" w:themeColor="text1"/>
          <w:sz w:val="32"/>
          <w:szCs w:val="32"/>
          <w:highlight w:val="none"/>
          <w:lang w:val="en-US" w:eastAsia="zh-CN"/>
          <w14:textFill>
            <w14:solidFill>
              <w14:schemeClr w14:val="tx1"/>
            </w14:solidFill>
          </w14:textFill>
        </w:rPr>
        <w:t>第十四条</w:t>
      </w:r>
      <w:r>
        <w:rPr>
          <w:rFonts w:hint="eastAsia" w:ascii="仿宋_GB2312" w:hAnsi="仿宋_GB2312" w:eastAsia="仿宋_GB2312" w:cs="仿宋_GB2312"/>
          <w:b/>
          <w:bCs w:val="0"/>
          <w:color w:val="000000" w:themeColor="text1"/>
          <w:sz w:val="32"/>
          <w:szCs w:val="32"/>
          <w:highlight w:val="none"/>
          <w:lang w:val="en-US" w:eastAsia="zh-CN"/>
          <w14:textFill>
            <w14:solidFill>
              <w14:schemeClr w14:val="tx1"/>
            </w14:solidFill>
          </w14:textFill>
        </w:rPr>
        <w:t xml:space="preserve"> </w:t>
      </w:r>
      <w:r>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t>县</w:t>
      </w:r>
      <w:r>
        <w:rPr>
          <w:rFonts w:ascii="FangSong" w:hAnsi="FangSong" w:eastAsia="FangSong" w:cs="FangSong"/>
          <w:color w:val="000000" w:themeColor="text1"/>
          <w:spacing w:val="-7"/>
          <w:sz w:val="32"/>
          <w:szCs w:val="32"/>
          <w14:textFill>
            <w14:solidFill>
              <w14:schemeClr w14:val="tx1"/>
            </w14:solidFill>
          </w14:textFill>
        </w:rPr>
        <w:t>财政局、自然资源局、农业农村局等相关部门</w:t>
      </w:r>
      <w:r>
        <w:rPr>
          <w:rFonts w:ascii="FangSong" w:hAnsi="FangSong" w:eastAsia="FangSong" w:cs="FangSong"/>
          <w:color w:val="000000" w:themeColor="text1"/>
          <w:spacing w:val="-8"/>
          <w:sz w:val="32"/>
          <w:szCs w:val="32"/>
          <w14:textFill>
            <w14:solidFill>
              <w14:schemeClr w14:val="tx1"/>
            </w14:solidFill>
          </w14:textFill>
        </w:rPr>
        <w:t>按各自职责做好相关工作的指导与监督。</w:t>
      </w:r>
    </w:p>
    <w:p w14:paraId="76D29C79">
      <w:pPr>
        <w:keepNext w:val="0"/>
        <w:keepLines w:val="0"/>
        <w:pageBreakBefore w:val="0"/>
        <w:widowControl/>
        <w:kinsoku w:val="0"/>
        <w:wordWrap/>
        <w:overflowPunct/>
        <w:topLinePunct w:val="0"/>
        <w:autoSpaceDE w:val="0"/>
        <w:autoSpaceDN w:val="0"/>
        <w:bidi w:val="0"/>
        <w:adjustRightInd w:val="0"/>
        <w:snapToGrid w:val="0"/>
        <w:spacing w:line="600" w:lineRule="exact"/>
        <w:ind w:right="0" w:firstLine="649"/>
        <w:jc w:val="both"/>
        <w:textAlignment w:val="baseline"/>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pPr>
      <w:r>
        <w:rPr>
          <w:rFonts w:hint="eastAsia" w:ascii="方正楷体_GB2312" w:hAnsi="方正楷体_GB2312" w:eastAsia="方正楷体_GB2312" w:cs="方正楷体_GB2312"/>
          <w:b/>
          <w:bCs w:val="0"/>
          <w:color w:val="000000" w:themeColor="text1"/>
          <w:sz w:val="32"/>
          <w:szCs w:val="32"/>
          <w:highlight w:val="none"/>
          <w:lang w:val="en-US" w:eastAsia="zh-CN"/>
          <w14:textFill>
            <w14:solidFill>
              <w14:schemeClr w14:val="tx1"/>
            </w14:solidFill>
          </w14:textFill>
        </w:rPr>
        <w:t>第十五条</w:t>
      </w:r>
      <w:r>
        <w:rPr>
          <w:rFonts w:hint="eastAsia" w:ascii="仿宋_GB2312" w:hAnsi="仿宋_GB2312" w:eastAsia="仿宋_GB2312" w:cs="仿宋_GB2312"/>
          <w:b/>
          <w:bCs w:val="0"/>
          <w:color w:val="000000" w:themeColor="text1"/>
          <w:sz w:val="32"/>
          <w:szCs w:val="32"/>
          <w:highlight w:val="none"/>
          <w:lang w:val="en-US" w:eastAsia="zh-CN"/>
          <w14:textFill>
            <w14:solidFill>
              <w14:schemeClr w14:val="tx1"/>
            </w14:solidFill>
          </w14:textFill>
        </w:rPr>
        <w:t xml:space="preserve"> </w:t>
      </w:r>
      <w:r>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t>国家工作人员玩忽职守、滥用职权、徇私舞弊，造成土地收益损失的，由其所在单位或者上级机关给予处分；给村集体造成损失的，应当依法赔偿损失；构成犯罪的，依法追究刑事责任。</w:t>
      </w:r>
    </w:p>
    <w:p w14:paraId="3C65337A">
      <w:pPr>
        <w:keepNext w:val="0"/>
        <w:keepLines w:val="0"/>
        <w:pageBreakBefore w:val="0"/>
        <w:widowControl/>
        <w:kinsoku w:val="0"/>
        <w:wordWrap/>
        <w:overflowPunct/>
        <w:topLinePunct w:val="0"/>
        <w:autoSpaceDE w:val="0"/>
        <w:autoSpaceDN w:val="0"/>
        <w:bidi w:val="0"/>
        <w:adjustRightInd w:val="0"/>
        <w:snapToGrid w:val="0"/>
        <w:spacing w:before="212" w:after="0" w:afterLines="50" w:line="600" w:lineRule="exact"/>
        <w:ind w:left="3453"/>
        <w:textAlignment w:val="baseline"/>
        <w:rPr>
          <w:rFonts w:ascii="黑体" w:hAnsi="黑体" w:eastAsia="黑体" w:cs="黑体"/>
          <w:color w:val="000000" w:themeColor="text1"/>
          <w:sz w:val="32"/>
          <w:szCs w:val="32"/>
          <w14:textFill>
            <w14:solidFill>
              <w14:schemeClr w14:val="tx1"/>
            </w14:solidFill>
          </w14:textFill>
        </w:rPr>
      </w:pPr>
      <w:r>
        <w:rPr>
          <w:rFonts w:ascii="黑体" w:hAnsi="黑体" w:eastAsia="黑体" w:cs="黑体"/>
          <w:color w:val="000000" w:themeColor="text1"/>
          <w:spacing w:val="30"/>
          <w:sz w:val="32"/>
          <w:szCs w:val="32"/>
          <w14:textFill>
            <w14:solidFill>
              <w14:schemeClr w14:val="tx1"/>
            </w14:solidFill>
          </w14:textFill>
        </w:rPr>
        <w:t>第</w:t>
      </w:r>
      <w:r>
        <w:rPr>
          <w:rFonts w:hint="eastAsia" w:ascii="黑体" w:hAnsi="黑体" w:eastAsia="黑体" w:cs="黑体"/>
          <w:color w:val="000000" w:themeColor="text1"/>
          <w:spacing w:val="30"/>
          <w:sz w:val="32"/>
          <w:szCs w:val="32"/>
          <w:lang w:eastAsia="zh-CN"/>
          <w14:textFill>
            <w14:solidFill>
              <w14:schemeClr w14:val="tx1"/>
            </w14:solidFill>
          </w14:textFill>
        </w:rPr>
        <w:t>五</w:t>
      </w:r>
      <w:r>
        <w:rPr>
          <w:rFonts w:ascii="黑体" w:hAnsi="黑体" w:eastAsia="黑体" w:cs="黑体"/>
          <w:color w:val="000000" w:themeColor="text1"/>
          <w:spacing w:val="30"/>
          <w:sz w:val="32"/>
          <w:szCs w:val="32"/>
          <w14:textFill>
            <w14:solidFill>
              <w14:schemeClr w14:val="tx1"/>
            </w14:solidFill>
          </w14:textFill>
        </w:rPr>
        <w:t>章附则</w:t>
      </w:r>
    </w:p>
    <w:p w14:paraId="6EFBE41F">
      <w:pPr>
        <w:keepNext w:val="0"/>
        <w:keepLines w:val="0"/>
        <w:pageBreakBefore w:val="0"/>
        <w:widowControl/>
        <w:kinsoku w:val="0"/>
        <w:wordWrap/>
        <w:overflowPunct/>
        <w:topLinePunct w:val="0"/>
        <w:autoSpaceDE w:val="0"/>
        <w:autoSpaceDN w:val="0"/>
        <w:bidi w:val="0"/>
        <w:adjustRightInd w:val="0"/>
        <w:snapToGrid w:val="0"/>
        <w:spacing w:after="0" w:afterLines="50" w:line="600" w:lineRule="exact"/>
        <w:ind w:right="0" w:firstLine="646"/>
        <w:jc w:val="both"/>
        <w:textAlignment w:val="baseline"/>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pPr>
      <w:r>
        <w:rPr>
          <w:rFonts w:hint="eastAsia" w:ascii="方正楷体_GB2312" w:hAnsi="方正楷体_GB2312" w:eastAsia="方正楷体_GB2312" w:cs="方正楷体_GB2312"/>
          <w:b/>
          <w:bCs w:val="0"/>
          <w:color w:val="000000" w:themeColor="text1"/>
          <w:sz w:val="32"/>
          <w:szCs w:val="32"/>
          <w:highlight w:val="none"/>
          <w:lang w:val="en-US" w:eastAsia="zh-CN"/>
          <w14:textFill>
            <w14:solidFill>
              <w14:schemeClr w14:val="tx1"/>
            </w14:solidFill>
          </w14:textFill>
        </w:rPr>
        <w:t>第十六条</w:t>
      </w:r>
      <w:r>
        <w:rPr>
          <w:rFonts w:hint="eastAsia" w:ascii="仿宋_GB2312" w:hAnsi="仿宋_GB2312" w:eastAsia="仿宋_GB2312" w:cs="仿宋_GB2312"/>
          <w:b/>
          <w:bCs w:val="0"/>
          <w:color w:val="000000" w:themeColor="text1"/>
          <w:sz w:val="32"/>
          <w:szCs w:val="32"/>
          <w:highlight w:val="none"/>
          <w:lang w:val="en-US" w:eastAsia="zh-CN"/>
          <w14:textFill>
            <w14:solidFill>
              <w14:schemeClr w14:val="tx1"/>
            </w14:solidFill>
          </w14:textFill>
        </w:rPr>
        <w:t xml:space="preserve"> </w:t>
      </w:r>
      <w:r>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t>本办法自发布之日起实施，有效期至2027年12月31日。试行期间，如国家和省、市出台相关政策，按新规定执行。</w:t>
      </w:r>
    </w:p>
    <w:p w14:paraId="6E199BE8">
      <w:pPr>
        <w:pStyle w:val="2"/>
        <w:ind w:left="0" w:leftChars="0" w:firstLine="0" w:firstLineChars="0"/>
        <w:jc w:val="left"/>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pPr>
    </w:p>
    <w:p w14:paraId="39290D5D">
      <w:pPr>
        <w:pStyle w:val="4"/>
        <w:keepNext w:val="0"/>
        <w:keepLines w:val="0"/>
        <w:pageBreakBefore w:val="0"/>
        <w:widowControl/>
        <w:kinsoku/>
        <w:wordWrap/>
        <w:overflowPunct/>
        <w:topLinePunct w:val="0"/>
        <w:autoSpaceDE w:val="0"/>
        <w:autoSpaceDN w:val="0"/>
        <w:bidi w:val="0"/>
        <w:adjustRightInd w:val="0"/>
        <w:snapToGrid w:val="0"/>
        <w:spacing w:line="244" w:lineRule="auto"/>
        <w:jc w:val="left"/>
        <w:textAlignment w:val="baseline"/>
        <w:rPr>
          <w:color w:val="auto"/>
        </w:rPr>
      </w:pPr>
    </w:p>
    <w:p w14:paraId="2C213055">
      <w:pPr>
        <w:pStyle w:val="4"/>
        <w:keepNext w:val="0"/>
        <w:keepLines w:val="0"/>
        <w:pageBreakBefore w:val="0"/>
        <w:widowControl/>
        <w:kinsoku/>
        <w:wordWrap/>
        <w:overflowPunct/>
        <w:topLinePunct w:val="0"/>
        <w:autoSpaceDE w:val="0"/>
        <w:autoSpaceDN w:val="0"/>
        <w:bidi w:val="0"/>
        <w:adjustRightInd w:val="0"/>
        <w:snapToGrid w:val="0"/>
        <w:spacing w:line="244" w:lineRule="auto"/>
        <w:jc w:val="left"/>
        <w:textAlignment w:val="baseline"/>
        <w:rPr>
          <w:color w:val="auto"/>
        </w:rPr>
      </w:pPr>
    </w:p>
    <w:p w14:paraId="6C90C5E7">
      <w:pPr>
        <w:pStyle w:val="4"/>
        <w:keepNext w:val="0"/>
        <w:keepLines w:val="0"/>
        <w:pageBreakBefore w:val="0"/>
        <w:widowControl/>
        <w:kinsoku/>
        <w:wordWrap/>
        <w:overflowPunct/>
        <w:topLinePunct w:val="0"/>
        <w:autoSpaceDE w:val="0"/>
        <w:autoSpaceDN w:val="0"/>
        <w:bidi w:val="0"/>
        <w:adjustRightInd w:val="0"/>
        <w:snapToGrid w:val="0"/>
        <w:spacing w:line="244" w:lineRule="auto"/>
        <w:jc w:val="left"/>
        <w:textAlignment w:val="baseline"/>
        <w:rPr>
          <w:rFonts w:hint="eastAsia" w:eastAsia="宋体"/>
          <w:color w:val="auto"/>
          <w:lang w:val="en-US" w:eastAsia="zh-CN"/>
        </w:rPr>
      </w:pPr>
      <w:r>
        <w:rPr>
          <w:rFonts w:hint="eastAsia" w:eastAsia="宋体"/>
          <w:color w:val="auto"/>
          <w:lang w:val="en-US" w:eastAsia="zh-CN"/>
        </w:rPr>
        <w:t xml:space="preserve"> </w:t>
      </w:r>
    </w:p>
    <w:p w14:paraId="77F1CEC4">
      <w:pPr>
        <w:pStyle w:val="4"/>
        <w:keepNext w:val="0"/>
        <w:keepLines w:val="0"/>
        <w:pageBreakBefore w:val="0"/>
        <w:widowControl/>
        <w:kinsoku/>
        <w:wordWrap/>
        <w:overflowPunct/>
        <w:topLinePunct w:val="0"/>
        <w:autoSpaceDE w:val="0"/>
        <w:autoSpaceDN w:val="0"/>
        <w:bidi w:val="0"/>
        <w:adjustRightInd w:val="0"/>
        <w:snapToGrid w:val="0"/>
        <w:spacing w:line="244" w:lineRule="auto"/>
        <w:jc w:val="left"/>
        <w:textAlignment w:val="baseline"/>
        <w:rPr>
          <w:color w:val="auto"/>
        </w:rPr>
      </w:pPr>
    </w:p>
    <w:p w14:paraId="401B2607">
      <w:pPr>
        <w:pStyle w:val="6"/>
        <w:rPr>
          <w:rFonts w:hint="default"/>
          <w:lang w:val="en-US"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6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702030404030204"/>
    <w:charset w:val="00"/>
    <w:family w:val="swiss"/>
    <w:pitch w:val="default"/>
    <w:sig w:usb0="E4002EFF" w:usb1="C000247B" w:usb2="00000009" w:usb3="00000000" w:csb0="200001F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楷体_GB2312">
    <w:altName w:val="楷体_GB2312"/>
    <w:panose1 w:val="02000000000000000000"/>
    <w:charset w:val="86"/>
    <w:family w:val="auto"/>
    <w:pitch w:val="default"/>
    <w:sig w:usb0="00000000" w:usb1="00000000"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FangSong">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FlZjcwMDVmODJhNTAyNGI0NjRhY2FlNmU5OGM3MzYifQ=="/>
  </w:docVars>
  <w:rsids>
    <w:rsidRoot w:val="06AE3602"/>
    <w:rsid w:val="01BD7019"/>
    <w:rsid w:val="06AE3602"/>
    <w:rsid w:val="104D34AB"/>
    <w:rsid w:val="16E52D9F"/>
    <w:rsid w:val="17E272CE"/>
    <w:rsid w:val="193FE058"/>
    <w:rsid w:val="1B336781"/>
    <w:rsid w:val="25F504B4"/>
    <w:rsid w:val="2BE11CFB"/>
    <w:rsid w:val="2F7F4FB0"/>
    <w:rsid w:val="2FEC4902"/>
    <w:rsid w:val="31DC58CE"/>
    <w:rsid w:val="3588148B"/>
    <w:rsid w:val="35A75C64"/>
    <w:rsid w:val="375E5C4F"/>
    <w:rsid w:val="3A1A2F5B"/>
    <w:rsid w:val="3A3434CA"/>
    <w:rsid w:val="3CA92922"/>
    <w:rsid w:val="3EB6731B"/>
    <w:rsid w:val="45EA4126"/>
    <w:rsid w:val="48893F9B"/>
    <w:rsid w:val="4D1E34D5"/>
    <w:rsid w:val="4D921A34"/>
    <w:rsid w:val="59C569F4"/>
    <w:rsid w:val="5C545372"/>
    <w:rsid w:val="5E4901C5"/>
    <w:rsid w:val="5EB55114"/>
    <w:rsid w:val="5F5415C9"/>
    <w:rsid w:val="649D1148"/>
    <w:rsid w:val="68D75861"/>
    <w:rsid w:val="69DF63AF"/>
    <w:rsid w:val="6B370250"/>
    <w:rsid w:val="6BD73616"/>
    <w:rsid w:val="6FFF4A95"/>
    <w:rsid w:val="726B577E"/>
    <w:rsid w:val="7BF36464"/>
    <w:rsid w:val="7D2C1078"/>
    <w:rsid w:val="7F7F54E6"/>
    <w:rsid w:val="7FD7C5BD"/>
    <w:rsid w:val="7FFA1ABD"/>
    <w:rsid w:val="B76F1BF6"/>
    <w:rsid w:val="D3F7ACF1"/>
    <w:rsid w:val="D57F654E"/>
    <w:rsid w:val="DBFB7939"/>
    <w:rsid w:val="F8DF5EAF"/>
    <w:rsid w:val="F95D763F"/>
    <w:rsid w:val="FBB7911B"/>
    <w:rsid w:val="FF0DF070"/>
    <w:rsid w:val="FFBEF16B"/>
    <w:rsid w:val="FFFB3670"/>
    <w:rsid w:val="FFFD4D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3"/>
    <w:basedOn w:val="1"/>
    <w:next w:val="1"/>
    <w:unhideWhenUsed/>
    <w:qFormat/>
    <w:uiPriority w:val="0"/>
    <w:pPr>
      <w:spacing w:before="100" w:beforeAutospacing="1" w:after="100" w:afterAutospacing="1"/>
      <w:jc w:val="left"/>
      <w:outlineLvl w:val="2"/>
    </w:pPr>
    <w:rPr>
      <w:rFonts w:hint="eastAsia" w:ascii="宋体" w:hAnsi="宋体" w:eastAsia="宋体" w:cs="宋体"/>
      <w:b/>
      <w:bCs/>
      <w:kern w:val="0"/>
      <w:sz w:val="27"/>
      <w:szCs w:val="27"/>
      <w:lang w:val="en-US" w:eastAsia="zh-CN" w:bidi="ar"/>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Indent 2"/>
    <w:basedOn w:val="1"/>
    <w:qFormat/>
    <w:uiPriority w:val="0"/>
    <w:pPr>
      <w:spacing w:after="120" w:line="480" w:lineRule="auto"/>
      <w:ind w:left="200" w:leftChars="200"/>
    </w:pPr>
  </w:style>
  <w:style w:type="paragraph" w:styleId="4">
    <w:name w:val="Body Text"/>
    <w:basedOn w:val="1"/>
    <w:semiHidden/>
    <w:qFormat/>
    <w:uiPriority w:val="0"/>
    <w:rPr>
      <w:rFonts w:ascii="Arial" w:hAnsi="Arial" w:eastAsia="Arial" w:cs="Arial"/>
      <w:sz w:val="21"/>
      <w:szCs w:val="21"/>
      <w:lang w:val="en-US" w:eastAsia="en-US" w:bidi="ar-SA"/>
    </w:rPr>
  </w:style>
  <w:style w:type="paragraph" w:styleId="5">
    <w:name w:val="Balloon Text"/>
    <w:basedOn w:val="1"/>
    <w:next w:val="6"/>
    <w:qFormat/>
    <w:uiPriority w:val="0"/>
    <w:rPr>
      <w:sz w:val="18"/>
      <w:szCs w:val="18"/>
    </w:rPr>
  </w:style>
  <w:style w:type="paragraph" w:styleId="6">
    <w:name w:val="HTML Preformatted"/>
    <w:basedOn w:val="1"/>
    <w:qFormat/>
    <w:uiPriority w:val="0"/>
    <w:rPr>
      <w:rFonts w:hint="eastAsia" w:ascii="宋体" w:hAnsi="宋体" w:eastAsia="宋体" w:cs="宋体"/>
      <w:sz w:val="24"/>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422</Words>
  <Characters>494</Characters>
  <Lines>0</Lines>
  <Paragraphs>0</Paragraphs>
  <TotalTime>81</TotalTime>
  <ScaleCrop>false</ScaleCrop>
  <LinksUpToDate>false</LinksUpToDate>
  <CharactersWithSpaces>556</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2022-12-09T02:00:00Z</dcterms:created>
  <dc:creator>小原</dc:creator>
  <cp:lastModifiedBy>wen</cp:lastModifiedBy>
  <cp:lastPrinted>2026-10-21T09:47:00Z</cp:lastPrinted>
  <dcterms:modified xsi:type="dcterms:W3CDTF">2026-10-22T10:35:21Z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F5BAFFA1BEF8A6F95875D96A50F3FE2B_43</vt:lpwstr>
  </property>
</Properties>
</file>